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9" w:rsidRPr="00E16363" w:rsidRDefault="00D45989" w:rsidP="00D45989">
      <w:pPr>
        <w:adjustRightInd w:val="0"/>
        <w:snapToGrid w:val="0"/>
        <w:spacing w:line="600" w:lineRule="exact"/>
        <w:ind w:leftChars="-135" w:left="-283" w:rightChars="-81" w:right="-170"/>
        <w:jc w:val="center"/>
        <w:rPr>
          <w:rFonts w:ascii="宋体" w:hAnsi="宋体"/>
          <w:b/>
          <w:sz w:val="44"/>
          <w:szCs w:val="44"/>
        </w:rPr>
      </w:pPr>
      <w:r w:rsidRPr="00E16363">
        <w:rPr>
          <w:rFonts w:ascii="宋体" w:hAnsi="宋体" w:hint="eastAsia"/>
          <w:b/>
          <w:sz w:val="44"/>
          <w:szCs w:val="44"/>
        </w:rPr>
        <w:t>江西遂川农村商业银行股份有限公司</w:t>
      </w:r>
    </w:p>
    <w:p w:rsidR="00D45989" w:rsidRPr="00E16363" w:rsidRDefault="00D45989" w:rsidP="00D45989">
      <w:pPr>
        <w:adjustRightInd w:val="0"/>
        <w:snapToGrid w:val="0"/>
        <w:spacing w:line="600" w:lineRule="exact"/>
        <w:ind w:leftChars="-135" w:left="-283" w:rightChars="-81" w:right="-170"/>
        <w:jc w:val="center"/>
        <w:rPr>
          <w:rFonts w:ascii="宋体" w:hAnsi="宋体"/>
          <w:b/>
          <w:sz w:val="44"/>
          <w:szCs w:val="44"/>
        </w:rPr>
      </w:pPr>
      <w:r w:rsidRPr="00E16363">
        <w:rPr>
          <w:rFonts w:ascii="宋体" w:hAnsi="宋体" w:hint="eastAsia"/>
          <w:b/>
          <w:sz w:val="44"/>
          <w:szCs w:val="44"/>
        </w:rPr>
        <w:t>二○一八年信息披露报告</w:t>
      </w:r>
    </w:p>
    <w:p w:rsidR="00D45989" w:rsidRPr="00E16363" w:rsidRDefault="00D45989" w:rsidP="00D45989">
      <w:pPr>
        <w:adjustRightInd w:val="0"/>
        <w:snapToGrid w:val="0"/>
        <w:spacing w:line="600" w:lineRule="exact"/>
        <w:jc w:val="center"/>
        <w:rPr>
          <w:rFonts w:ascii="华文中宋" w:eastAsia="华文中宋" w:hAnsi="华文中宋" w:cs="宋体"/>
          <w:b/>
          <w:sz w:val="30"/>
          <w:szCs w:val="30"/>
        </w:rPr>
      </w:pPr>
    </w:p>
    <w:p w:rsidR="00D45989" w:rsidRPr="00E16363" w:rsidRDefault="00D45989" w:rsidP="00D45989">
      <w:pPr>
        <w:adjustRightInd w:val="0"/>
        <w:snapToGrid w:val="0"/>
        <w:spacing w:line="600" w:lineRule="exact"/>
        <w:jc w:val="center"/>
        <w:rPr>
          <w:rFonts w:ascii="黑体" w:eastAsia="黑体" w:hAnsi="黑体" w:cs="宋体"/>
          <w:bCs/>
          <w:sz w:val="32"/>
          <w:szCs w:val="32"/>
        </w:rPr>
      </w:pPr>
      <w:r w:rsidRPr="00E16363">
        <w:rPr>
          <w:rFonts w:ascii="黑体" w:eastAsia="黑体" w:hAnsi="黑体" w:cs="宋体" w:hint="eastAsia"/>
          <w:sz w:val="32"/>
          <w:szCs w:val="32"/>
        </w:rPr>
        <w:t>第一节  重要提示</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 w:eastAsia="仿宋" w:hAnsi="仿宋" w:hint="eastAsia"/>
          <w:sz w:val="32"/>
          <w:szCs w:val="32"/>
        </w:rPr>
        <w:t xml:space="preserve">　　</w:t>
      </w:r>
      <w:r w:rsidRPr="00E16363">
        <w:rPr>
          <w:rFonts w:ascii="仿宋_GB2312" w:eastAsia="仿宋_GB2312" w:hint="eastAsia"/>
          <w:sz w:val="32"/>
          <w:szCs w:val="32"/>
        </w:rPr>
        <w:t>一、本行董事会及董事保证本报告所载资料不存在任何虚假记载、误导性陈述或者重大遗漏，并对其内容的真实性、准确性和完整性责任。</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_GB2312" w:eastAsia="仿宋_GB2312" w:hint="eastAsia"/>
          <w:sz w:val="32"/>
          <w:szCs w:val="32"/>
        </w:rPr>
        <w:t xml:space="preserve">　　二、本行年度财务报告已经江西惠普会计事务所根据国内审计准则进行审计，并出具了标准无保留意见审计报告。</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_GB2312" w:eastAsia="仿宋_GB2312" w:hint="eastAsia"/>
          <w:sz w:val="32"/>
          <w:szCs w:val="32"/>
        </w:rPr>
        <w:t xml:space="preserve">　　三、本报告中除特别说明外，会计数据与业务数据，金额币种为人民币。</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_GB2312" w:eastAsia="仿宋_GB2312" w:hint="eastAsia"/>
          <w:sz w:val="32"/>
          <w:szCs w:val="32"/>
        </w:rPr>
        <w:t xml:space="preserve">　　四、本行董事会全体董事、行长和财务机构负责人，保证年度信息披露报告中财务数据的真实、完整。</w:t>
      </w:r>
    </w:p>
    <w:p w:rsidR="00D45989" w:rsidRPr="00E16363" w:rsidRDefault="00D45989" w:rsidP="00D45989">
      <w:pPr>
        <w:adjustRightInd w:val="0"/>
        <w:snapToGrid w:val="0"/>
        <w:spacing w:line="600" w:lineRule="exact"/>
        <w:jc w:val="center"/>
        <w:rPr>
          <w:rFonts w:ascii="黑体" w:eastAsia="黑体" w:hAnsi="黑体" w:cs="宋体"/>
          <w:bCs/>
          <w:sz w:val="32"/>
          <w:szCs w:val="32"/>
        </w:rPr>
      </w:pPr>
      <w:r w:rsidRPr="00E16363">
        <w:rPr>
          <w:rFonts w:ascii="黑体" w:eastAsia="黑体" w:hAnsi="黑体" w:cs="宋体" w:hint="eastAsia"/>
          <w:bCs/>
          <w:sz w:val="32"/>
          <w:szCs w:val="32"/>
        </w:rPr>
        <w:t>第二节  公司基本情况简介</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【法定中文名称】江西遂川农村商业银行股份有限公司</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_GB2312" w:eastAsia="仿宋_GB2312" w:hint="eastAsia"/>
          <w:sz w:val="32"/>
          <w:szCs w:val="32"/>
        </w:rPr>
        <w:t>【法定英文名称】</w:t>
      </w:r>
      <w:proofErr w:type="spellStart"/>
      <w:r w:rsidRPr="00E16363">
        <w:rPr>
          <w:rFonts w:ascii="仿宋_GB2312" w:eastAsia="仿宋_GB2312"/>
          <w:sz w:val="32"/>
          <w:szCs w:val="32"/>
        </w:rPr>
        <w:t>JiangxiSuichuanRuralCo</w:t>
      </w:r>
      <w:r w:rsidRPr="00E16363">
        <w:rPr>
          <w:rFonts w:ascii="仿宋_GB2312" w:eastAsia="仿宋_GB2312" w:hint="eastAsia"/>
          <w:sz w:val="32"/>
          <w:szCs w:val="32"/>
        </w:rPr>
        <w:t>mmercial</w:t>
      </w:r>
      <w:proofErr w:type="spellEnd"/>
      <w:r w:rsidRPr="00E16363">
        <w:rPr>
          <w:rFonts w:ascii="仿宋_GB2312" w:eastAsia="仿宋_GB2312" w:hint="eastAsia"/>
          <w:sz w:val="32"/>
          <w:szCs w:val="32"/>
        </w:rPr>
        <w:t xml:space="preserve"> </w:t>
      </w:r>
      <w:r w:rsidRPr="00E16363">
        <w:rPr>
          <w:rFonts w:ascii="仿宋_GB2312" w:eastAsia="仿宋_GB2312"/>
          <w:sz w:val="32"/>
          <w:szCs w:val="32"/>
        </w:rPr>
        <w:t>Bank</w:t>
      </w:r>
      <w:r w:rsidRPr="00E16363">
        <w:rPr>
          <w:rFonts w:ascii="仿宋_GB2312" w:eastAsia="仿宋_GB2312" w:hint="eastAsia"/>
          <w:sz w:val="32"/>
          <w:szCs w:val="32"/>
        </w:rPr>
        <w:t xml:space="preserve"> Co.，Ltd</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（简称：</w:t>
      </w:r>
      <w:proofErr w:type="spellStart"/>
      <w:r w:rsidRPr="00E16363">
        <w:rPr>
          <w:rFonts w:ascii="仿宋_GB2312" w:eastAsia="仿宋_GB2312" w:hAnsi="宋体" w:cs="宋体"/>
          <w:kern w:val="0"/>
          <w:sz w:val="32"/>
          <w:szCs w:val="32"/>
        </w:rPr>
        <w:t>JiangxiSuichuanRuralCo</w:t>
      </w:r>
      <w:r w:rsidRPr="00E16363">
        <w:rPr>
          <w:rFonts w:ascii="仿宋_GB2312" w:eastAsia="仿宋_GB2312" w:hAnsi="宋体" w:cs="宋体" w:hint="eastAsia"/>
          <w:kern w:val="0"/>
          <w:sz w:val="32"/>
          <w:szCs w:val="32"/>
        </w:rPr>
        <w:t>mmercial</w:t>
      </w:r>
      <w:proofErr w:type="spellEnd"/>
      <w:r w:rsidRPr="00E16363">
        <w:rPr>
          <w:rFonts w:ascii="仿宋_GB2312" w:eastAsia="仿宋_GB2312" w:hAnsi="宋体" w:cs="宋体" w:hint="eastAsia"/>
          <w:kern w:val="0"/>
          <w:sz w:val="32"/>
          <w:szCs w:val="32"/>
        </w:rPr>
        <w:t xml:space="preserve"> </w:t>
      </w:r>
      <w:r w:rsidRPr="00E16363">
        <w:rPr>
          <w:rFonts w:ascii="仿宋_GB2312" w:eastAsia="仿宋_GB2312" w:hAnsi="宋体" w:cs="宋体"/>
          <w:kern w:val="0"/>
          <w:sz w:val="32"/>
          <w:szCs w:val="32"/>
        </w:rPr>
        <w:t>Bank</w:t>
      </w:r>
      <w:r w:rsidRPr="00E16363">
        <w:rPr>
          <w:rFonts w:ascii="仿宋_GB2312" w:eastAsia="仿宋_GB2312" w:hAnsi="宋体" w:cs="宋体" w:hint="eastAsia"/>
          <w:kern w:val="0"/>
          <w:sz w:val="32"/>
          <w:szCs w:val="32"/>
        </w:rPr>
        <w:t>）</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【法定中文简称】 遂川农商银行</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【法定代表人】左江萍</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【董事会秘书】王鑫星</w:t>
      </w:r>
    </w:p>
    <w:p w:rsidR="00D45989" w:rsidRPr="00E16363" w:rsidRDefault="00D45989" w:rsidP="00D45989">
      <w:pPr>
        <w:pStyle w:val="a5"/>
        <w:adjustRightInd w:val="0"/>
        <w:snapToGrid w:val="0"/>
        <w:spacing w:line="600" w:lineRule="exact"/>
        <w:rPr>
          <w:rFonts w:ascii="仿宋_GB2312" w:eastAsia="仿宋_GB2312"/>
          <w:sz w:val="32"/>
          <w:szCs w:val="32"/>
        </w:rPr>
      </w:pPr>
      <w:r w:rsidRPr="00E16363">
        <w:rPr>
          <w:rFonts w:ascii="仿宋_GB2312" w:eastAsia="仿宋_GB2312" w:hint="eastAsia"/>
          <w:sz w:val="32"/>
          <w:szCs w:val="32"/>
        </w:rPr>
        <w:t>【注册资本】230544921元</w:t>
      </w:r>
    </w:p>
    <w:p w:rsidR="00D45989" w:rsidRPr="00E16363" w:rsidRDefault="00D45989" w:rsidP="00D45989">
      <w:pPr>
        <w:adjustRightInd w:val="0"/>
        <w:snapToGrid w:val="0"/>
        <w:spacing w:line="600" w:lineRule="exac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【公司住所】江西省吉安市遂川县泉江镇银云路182号</w:t>
      </w:r>
    </w:p>
    <w:p w:rsidR="00D45989" w:rsidRPr="00E16363" w:rsidRDefault="00D45989" w:rsidP="00D45989">
      <w:pPr>
        <w:adjustRightInd w:val="0"/>
        <w:snapToGrid w:val="0"/>
        <w:spacing w:line="600" w:lineRule="exact"/>
        <w:ind w:firstLineChars="50" w:firstLine="160"/>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lastRenderedPageBreak/>
        <w:t>邮政编码：343900</w:t>
      </w:r>
    </w:p>
    <w:p w:rsidR="00D45989" w:rsidRPr="00E16363" w:rsidRDefault="00D45989" w:rsidP="00D45989">
      <w:pPr>
        <w:adjustRightInd w:val="0"/>
        <w:snapToGrid w:val="0"/>
        <w:spacing w:line="600" w:lineRule="exact"/>
        <w:ind w:firstLineChars="50" w:firstLine="160"/>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 xml:space="preserve">联系电话：0796-6323392 </w:t>
      </w:r>
    </w:p>
    <w:p w:rsidR="00D45989" w:rsidRPr="00E16363" w:rsidRDefault="00D45989" w:rsidP="00D45989">
      <w:pPr>
        <w:adjustRightInd w:val="0"/>
        <w:snapToGrid w:val="0"/>
        <w:spacing w:line="600" w:lineRule="exact"/>
        <w:ind w:firstLineChars="50" w:firstLine="160"/>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传    真：0796-6323392</w:t>
      </w:r>
    </w:p>
    <w:p w:rsidR="00D45989" w:rsidRPr="00E16363" w:rsidRDefault="00D45989" w:rsidP="00D45989">
      <w:pPr>
        <w:adjustRightInd w:val="0"/>
        <w:snapToGrid w:val="0"/>
        <w:spacing w:line="600" w:lineRule="exact"/>
        <w:ind w:left="160" w:hangingChars="50" w:hanging="160"/>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【主营业务范围】  吸收公众存款;发放短期、中期和长期贷款；办理国内结算；办理票据承兑与贴现；代理收付款项及代理保险业务；买卖政府债券、金融债券；从事同业拆借；办理银行卡业务；代理发行、代理兑付、承销政府债券；提供保管箱服务；经银行业监督管理机构批准的其他业务。</w:t>
      </w:r>
    </w:p>
    <w:p w:rsidR="00D45989" w:rsidRPr="00E16363" w:rsidRDefault="00D45989" w:rsidP="00D45989">
      <w:pPr>
        <w:widowControl/>
        <w:adjustRightInd w:val="0"/>
        <w:snapToGrid w:val="0"/>
        <w:spacing w:before="100" w:beforeAutospacing="1" w:after="100" w:afterAutospacing="1" w:line="600" w:lineRule="exact"/>
        <w:jc w:val="lef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【其他有关资料】</w:t>
      </w:r>
    </w:p>
    <w:p w:rsidR="00D45989" w:rsidRPr="00E16363" w:rsidRDefault="00D45989" w:rsidP="00D45989">
      <w:pPr>
        <w:widowControl/>
        <w:adjustRightInd w:val="0"/>
        <w:snapToGrid w:val="0"/>
        <w:spacing w:before="100" w:beforeAutospacing="1" w:after="100" w:afterAutospacing="1" w:line="600" w:lineRule="exact"/>
        <w:jc w:val="lef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首次登记日：2010年11月19日</w:t>
      </w:r>
    </w:p>
    <w:p w:rsidR="00D45989" w:rsidRPr="00E16363" w:rsidRDefault="00D45989" w:rsidP="00D45989">
      <w:pPr>
        <w:widowControl/>
        <w:adjustRightInd w:val="0"/>
        <w:snapToGrid w:val="0"/>
        <w:spacing w:before="100" w:beforeAutospacing="1" w:after="100" w:afterAutospacing="1" w:line="600" w:lineRule="exact"/>
        <w:jc w:val="lef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营业执照统一社会信用代码：9136080078148705XR</w:t>
      </w:r>
    </w:p>
    <w:p w:rsidR="00D45989" w:rsidRPr="00E16363" w:rsidRDefault="00D45989" w:rsidP="00D45989">
      <w:pPr>
        <w:widowControl/>
        <w:adjustRightInd w:val="0"/>
        <w:snapToGrid w:val="0"/>
        <w:spacing w:before="100" w:beforeAutospacing="1" w:after="100" w:afterAutospacing="1" w:line="600" w:lineRule="exact"/>
        <w:jc w:val="lef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金融许可证机构编号：B0448H236080001</w:t>
      </w:r>
      <w:r w:rsidRPr="00E16363">
        <w:rPr>
          <w:rFonts w:ascii="仿宋_GB2312" w:eastAsia="仿宋_GB2312" w:hAnsi="宋体" w:cs="宋体" w:hint="eastAsia"/>
          <w:kern w:val="0"/>
          <w:sz w:val="32"/>
          <w:szCs w:val="32"/>
        </w:rPr>
        <w:tab/>
      </w:r>
    </w:p>
    <w:p w:rsidR="00D45989" w:rsidRPr="00E16363" w:rsidRDefault="00D45989" w:rsidP="00D45989">
      <w:pPr>
        <w:widowControl/>
        <w:adjustRightInd w:val="0"/>
        <w:snapToGrid w:val="0"/>
        <w:spacing w:before="100" w:beforeAutospacing="1" w:after="100" w:afterAutospacing="1" w:line="600" w:lineRule="exact"/>
        <w:jc w:val="left"/>
        <w:rPr>
          <w:rFonts w:ascii="仿宋_GB2312" w:eastAsia="仿宋_GB2312" w:hAnsi="宋体" w:cs="宋体"/>
          <w:kern w:val="0"/>
          <w:sz w:val="32"/>
          <w:szCs w:val="32"/>
        </w:rPr>
      </w:pPr>
      <w:r w:rsidRPr="00E16363">
        <w:rPr>
          <w:rFonts w:ascii="仿宋_GB2312" w:eastAsia="仿宋_GB2312" w:hAnsi="宋体" w:cs="宋体" w:hint="eastAsia"/>
          <w:kern w:val="0"/>
          <w:sz w:val="32"/>
          <w:szCs w:val="32"/>
        </w:rPr>
        <w:t>聘请会计师事务所名称：江西惠普会计事务所</w:t>
      </w:r>
    </w:p>
    <w:p w:rsidR="00D45989" w:rsidRPr="00E16363" w:rsidRDefault="00D45989" w:rsidP="00D45989">
      <w:pPr>
        <w:adjustRightInd w:val="0"/>
        <w:snapToGrid w:val="0"/>
        <w:spacing w:line="600" w:lineRule="exact"/>
        <w:rPr>
          <w:rFonts w:ascii="仿宋" w:eastAsia="仿宋" w:hAnsi="仿宋" w:cs="宋体"/>
          <w:b/>
          <w:bCs/>
          <w:sz w:val="30"/>
          <w:szCs w:val="30"/>
        </w:rPr>
      </w:pPr>
    </w:p>
    <w:p w:rsidR="00D45989" w:rsidRPr="00546A92" w:rsidRDefault="00D45989" w:rsidP="00D45989">
      <w:pPr>
        <w:adjustRightInd w:val="0"/>
        <w:snapToGrid w:val="0"/>
        <w:spacing w:line="600" w:lineRule="exact"/>
        <w:rPr>
          <w:rFonts w:ascii="仿宋" w:eastAsia="仿宋" w:hAnsi="仿宋" w:cs="宋体"/>
          <w:b/>
          <w:bCs/>
          <w:sz w:val="30"/>
          <w:szCs w:val="30"/>
          <w:highlight w:val="yellow"/>
        </w:rPr>
      </w:pPr>
    </w:p>
    <w:p w:rsidR="00D45989" w:rsidRPr="00546A92" w:rsidRDefault="00D45989" w:rsidP="00D45989">
      <w:pPr>
        <w:adjustRightInd w:val="0"/>
        <w:snapToGrid w:val="0"/>
        <w:spacing w:line="600" w:lineRule="exact"/>
        <w:rPr>
          <w:rFonts w:ascii="仿宋" w:eastAsia="仿宋" w:hAnsi="仿宋" w:cs="宋体"/>
          <w:b/>
          <w:bCs/>
          <w:sz w:val="30"/>
          <w:szCs w:val="30"/>
          <w:highlight w:val="yellow"/>
        </w:rPr>
      </w:pPr>
    </w:p>
    <w:p w:rsidR="00D45989" w:rsidRPr="00546A92" w:rsidRDefault="00D45989" w:rsidP="00D45989">
      <w:pPr>
        <w:adjustRightInd w:val="0"/>
        <w:snapToGrid w:val="0"/>
        <w:spacing w:line="600" w:lineRule="exact"/>
        <w:rPr>
          <w:rFonts w:ascii="黑体" w:eastAsia="黑体" w:hAnsi="黑体" w:cs="宋体"/>
          <w:bCs/>
          <w:sz w:val="32"/>
          <w:szCs w:val="32"/>
          <w:highlight w:val="yellow"/>
        </w:rPr>
      </w:pPr>
    </w:p>
    <w:p w:rsidR="00D45989" w:rsidRPr="006205BE" w:rsidRDefault="00D45989" w:rsidP="00D45989">
      <w:pPr>
        <w:adjustRightInd w:val="0"/>
        <w:snapToGrid w:val="0"/>
        <w:spacing w:line="600" w:lineRule="exact"/>
        <w:jc w:val="center"/>
        <w:rPr>
          <w:rFonts w:ascii="黑体" w:eastAsia="黑体" w:hAnsi="黑体" w:cs="宋体"/>
          <w:kern w:val="0"/>
          <w:sz w:val="32"/>
          <w:szCs w:val="32"/>
        </w:rPr>
      </w:pPr>
      <w:r w:rsidRPr="006205BE">
        <w:rPr>
          <w:rFonts w:ascii="黑体" w:eastAsia="黑体" w:hAnsi="黑体" w:cs="宋体" w:hint="eastAsia"/>
          <w:bCs/>
          <w:sz w:val="32"/>
          <w:szCs w:val="32"/>
        </w:rPr>
        <w:t xml:space="preserve">第三节  </w:t>
      </w:r>
      <w:r w:rsidRPr="006205BE">
        <w:rPr>
          <w:rFonts w:ascii="黑体" w:eastAsia="黑体" w:hAnsi="黑体" w:cs="宋体" w:hint="eastAsia"/>
          <w:kern w:val="0"/>
          <w:sz w:val="32"/>
          <w:szCs w:val="32"/>
        </w:rPr>
        <w:t>会计数据和业务数据摘要</w:t>
      </w:r>
    </w:p>
    <w:p w:rsidR="00D45989" w:rsidRPr="006205BE" w:rsidRDefault="00D45989" w:rsidP="00D45989">
      <w:pPr>
        <w:widowControl/>
        <w:adjustRightInd w:val="0"/>
        <w:snapToGrid w:val="0"/>
        <w:spacing w:before="100" w:beforeAutospacing="1" w:after="100" w:afterAutospacing="1" w:line="600" w:lineRule="exact"/>
        <w:jc w:val="left"/>
        <w:rPr>
          <w:rFonts w:ascii="楷体" w:eastAsia="楷体" w:hAnsi="楷体" w:cs="宋体"/>
          <w:b/>
          <w:kern w:val="0"/>
          <w:sz w:val="32"/>
          <w:szCs w:val="32"/>
        </w:rPr>
      </w:pPr>
      <w:r w:rsidRPr="006205BE">
        <w:rPr>
          <w:rFonts w:ascii="楷体" w:eastAsia="楷体" w:hAnsi="楷体" w:cs="宋体" w:hint="eastAsia"/>
          <w:b/>
          <w:kern w:val="0"/>
          <w:sz w:val="32"/>
          <w:szCs w:val="32"/>
        </w:rPr>
        <w:lastRenderedPageBreak/>
        <w:t>一、报告期内主要利润指标情况</w:t>
      </w:r>
    </w:p>
    <w:p w:rsidR="00D45989" w:rsidRPr="006205BE" w:rsidRDefault="00D45989" w:rsidP="00D45989">
      <w:pPr>
        <w:widowControl/>
        <w:adjustRightInd w:val="0"/>
        <w:snapToGrid w:val="0"/>
        <w:spacing w:before="100" w:beforeAutospacing="1" w:after="100" w:afterAutospacing="1" w:line="600" w:lineRule="exact"/>
        <w:ind w:firstLineChars="2150" w:firstLine="6450"/>
        <w:jc w:val="left"/>
        <w:rPr>
          <w:rFonts w:ascii="仿宋" w:eastAsia="仿宋" w:hAnsi="仿宋" w:cs="宋体"/>
          <w:kern w:val="0"/>
          <w:sz w:val="30"/>
          <w:szCs w:val="30"/>
        </w:rPr>
      </w:pPr>
      <w:r w:rsidRPr="006205BE">
        <w:rPr>
          <w:rFonts w:ascii="仿宋" w:eastAsia="仿宋" w:hAnsi="仿宋" w:cs="宋体" w:hint="eastAsia"/>
          <w:kern w:val="0"/>
          <w:sz w:val="30"/>
          <w:szCs w:val="30"/>
        </w:rPr>
        <w:t>单位：万元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2"/>
        <w:gridCol w:w="3402"/>
      </w:tblGrid>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00"/>
              <w:jc w:val="center"/>
              <w:rPr>
                <w:rFonts w:ascii="仿宋" w:eastAsia="仿宋" w:hAnsi="仿宋" w:cs="宋体"/>
                <w:b/>
                <w:kern w:val="0"/>
                <w:sz w:val="30"/>
                <w:szCs w:val="30"/>
              </w:rPr>
            </w:pPr>
            <w:r w:rsidRPr="006205BE">
              <w:rPr>
                <w:rFonts w:ascii="仿宋" w:eastAsia="仿宋" w:hAnsi="仿宋" w:cs="宋体" w:hint="eastAsia"/>
                <w:b/>
                <w:kern w:val="0"/>
                <w:sz w:val="30"/>
                <w:szCs w:val="30"/>
              </w:rPr>
              <w:t>项目</w:t>
            </w:r>
          </w:p>
        </w:tc>
        <w:tc>
          <w:tcPr>
            <w:tcW w:w="3402" w:type="dxa"/>
            <w:shd w:val="clear" w:color="auto" w:fill="auto"/>
          </w:tcPr>
          <w:p w:rsidR="00D45989" w:rsidRPr="006205BE" w:rsidRDefault="00D45989" w:rsidP="00FA0A1C">
            <w:pPr>
              <w:adjustRightInd w:val="0"/>
              <w:snapToGrid w:val="0"/>
              <w:spacing w:line="600" w:lineRule="exact"/>
              <w:ind w:firstLineChars="200" w:firstLine="600"/>
              <w:jc w:val="center"/>
              <w:rPr>
                <w:rFonts w:ascii="仿宋" w:eastAsia="仿宋" w:hAnsi="仿宋" w:cs="宋体"/>
                <w:b/>
                <w:kern w:val="0"/>
                <w:sz w:val="30"/>
                <w:szCs w:val="30"/>
              </w:rPr>
            </w:pPr>
            <w:r w:rsidRPr="006205BE">
              <w:rPr>
                <w:rFonts w:ascii="仿宋" w:eastAsia="仿宋" w:hAnsi="仿宋" w:cs="宋体" w:hint="eastAsia"/>
                <w:b/>
                <w:kern w:val="0"/>
                <w:sz w:val="30"/>
                <w:szCs w:val="30"/>
              </w:rPr>
              <w:t>2018年</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营业收入</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47163.73</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营业支出</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34942.22</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营业利润</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12221.51</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营业外收支净额</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-59.50</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利润总额</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12162.01</w:t>
            </w:r>
          </w:p>
        </w:tc>
      </w:tr>
      <w:tr w:rsidR="00D45989" w:rsidRPr="006205BE" w:rsidTr="00FA0A1C">
        <w:trPr>
          <w:trHeight w:hRule="exact" w:val="510"/>
        </w:trPr>
        <w:tc>
          <w:tcPr>
            <w:tcW w:w="543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净利润</w:t>
            </w:r>
          </w:p>
        </w:tc>
        <w:tc>
          <w:tcPr>
            <w:tcW w:w="3402" w:type="dxa"/>
            <w:shd w:val="clear" w:color="auto" w:fill="auto"/>
          </w:tcPr>
          <w:p w:rsidR="00D45989" w:rsidRPr="006205BE" w:rsidRDefault="00D45989" w:rsidP="00FA0A1C">
            <w:pPr>
              <w:adjustRightInd w:val="0"/>
              <w:snapToGrid w:val="0"/>
              <w:spacing w:line="600" w:lineRule="exact"/>
              <w:ind w:firstLineChars="200" w:firstLine="640"/>
              <w:jc w:val="center"/>
              <w:rPr>
                <w:rFonts w:ascii="仿宋_GB2312" w:eastAsia="仿宋_GB2312" w:hAnsi="宋体" w:cs="宋体"/>
                <w:kern w:val="0"/>
                <w:sz w:val="32"/>
                <w:szCs w:val="32"/>
              </w:rPr>
            </w:pPr>
            <w:r w:rsidRPr="006205BE">
              <w:rPr>
                <w:rFonts w:ascii="仿宋_GB2312" w:eastAsia="仿宋_GB2312" w:hAnsi="宋体" w:cs="宋体" w:hint="eastAsia"/>
                <w:kern w:val="0"/>
                <w:sz w:val="32"/>
                <w:szCs w:val="32"/>
              </w:rPr>
              <w:t>9491.51</w:t>
            </w:r>
          </w:p>
        </w:tc>
      </w:tr>
    </w:tbl>
    <w:p w:rsidR="00D45989" w:rsidRPr="006205BE" w:rsidRDefault="00D45989" w:rsidP="00D45989">
      <w:pPr>
        <w:widowControl/>
        <w:adjustRightInd w:val="0"/>
        <w:snapToGrid w:val="0"/>
        <w:spacing w:before="100" w:beforeAutospacing="1" w:after="100" w:afterAutospacing="1" w:line="600" w:lineRule="exact"/>
        <w:jc w:val="left"/>
        <w:rPr>
          <w:rFonts w:ascii="楷体" w:eastAsia="楷体" w:hAnsi="楷体" w:cs="宋体"/>
          <w:b/>
          <w:kern w:val="0"/>
          <w:sz w:val="32"/>
          <w:szCs w:val="32"/>
        </w:rPr>
      </w:pPr>
      <w:r w:rsidRPr="006205BE">
        <w:rPr>
          <w:rFonts w:ascii="楷体" w:eastAsia="楷体" w:hAnsi="楷体" w:cs="宋体" w:hint="eastAsia"/>
          <w:b/>
          <w:kern w:val="0"/>
          <w:sz w:val="32"/>
          <w:szCs w:val="32"/>
        </w:rPr>
        <w:t>二、截止报告期末前三年主要会计数据和财务指标</w:t>
      </w:r>
    </w:p>
    <w:p w:rsidR="00D45989" w:rsidRPr="006205BE" w:rsidRDefault="00D45989" w:rsidP="00D45989">
      <w:pPr>
        <w:widowControl/>
        <w:adjustRightInd w:val="0"/>
        <w:snapToGrid w:val="0"/>
        <w:spacing w:before="100" w:beforeAutospacing="1" w:after="100" w:afterAutospacing="1" w:line="600" w:lineRule="exact"/>
        <w:ind w:firstLineChars="2100" w:firstLine="6300"/>
        <w:jc w:val="left"/>
        <w:rPr>
          <w:rFonts w:ascii="仿宋" w:eastAsia="仿宋" w:hAnsi="仿宋" w:cs="宋体"/>
          <w:kern w:val="0"/>
          <w:sz w:val="30"/>
          <w:szCs w:val="30"/>
        </w:rPr>
      </w:pPr>
      <w:r w:rsidRPr="006205BE">
        <w:rPr>
          <w:rFonts w:ascii="仿宋" w:eastAsia="仿宋" w:hAnsi="仿宋" w:cs="宋体" w:hint="eastAsia"/>
          <w:kern w:val="0"/>
          <w:sz w:val="30"/>
          <w:szCs w:val="30"/>
        </w:rPr>
        <w:t xml:space="preserve">　单位：万元</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943"/>
        <w:gridCol w:w="1943"/>
        <w:gridCol w:w="1943"/>
      </w:tblGrid>
      <w:tr w:rsidR="00D45989" w:rsidRPr="006205BE" w:rsidTr="00FA0A1C">
        <w:trPr>
          <w:trHeight w:hRule="exact" w:val="547"/>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6205BE">
              <w:rPr>
                <w:rFonts w:ascii="仿宋_GB2312" w:eastAsia="仿宋_GB2312" w:hAnsi="仿宋" w:cs="宋体" w:hint="eastAsia"/>
                <w:b/>
                <w:kern w:val="0"/>
                <w:sz w:val="30"/>
                <w:szCs w:val="30"/>
              </w:rPr>
              <w:t>项目</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6205BE">
              <w:rPr>
                <w:rFonts w:ascii="仿宋_GB2312" w:eastAsia="仿宋_GB2312" w:hAnsi="仿宋" w:cs="宋体" w:hint="eastAsia"/>
                <w:b/>
                <w:kern w:val="0"/>
                <w:sz w:val="30"/>
                <w:szCs w:val="30"/>
              </w:rPr>
              <w:t>2018年</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6205BE">
              <w:rPr>
                <w:rFonts w:ascii="仿宋_GB2312" w:eastAsia="仿宋_GB2312" w:hAnsi="仿宋" w:cs="宋体" w:hint="eastAsia"/>
                <w:b/>
                <w:kern w:val="0"/>
                <w:sz w:val="30"/>
                <w:szCs w:val="30"/>
              </w:rPr>
              <w:t>2017年</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6205BE">
              <w:rPr>
                <w:rFonts w:ascii="仿宋_GB2312" w:eastAsia="仿宋_GB2312" w:hAnsi="仿宋" w:cs="宋体" w:hint="eastAsia"/>
                <w:b/>
                <w:kern w:val="0"/>
                <w:sz w:val="30"/>
                <w:szCs w:val="30"/>
              </w:rPr>
              <w:t>2016年</w:t>
            </w:r>
          </w:p>
        </w:tc>
      </w:tr>
      <w:tr w:rsidR="00D45989" w:rsidRPr="006205BE" w:rsidTr="00FA0A1C">
        <w:trPr>
          <w:trHeight w:hRule="exact" w:val="555"/>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利息净收入</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34069.76</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23039.21</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18469.45</w:t>
            </w:r>
          </w:p>
        </w:tc>
      </w:tr>
      <w:tr w:rsidR="00D45989" w:rsidRPr="006205BE" w:rsidTr="00FA0A1C">
        <w:trPr>
          <w:trHeight w:hRule="exact" w:val="517"/>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净利润</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9491.51</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8402.37</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8299.67</w:t>
            </w:r>
          </w:p>
        </w:tc>
      </w:tr>
      <w:tr w:rsidR="00D45989" w:rsidRPr="006205BE" w:rsidTr="00FA0A1C">
        <w:trPr>
          <w:trHeight w:hRule="exact" w:val="523"/>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总资产</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860064.32</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747668.38</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658103.00</w:t>
            </w:r>
          </w:p>
        </w:tc>
      </w:tr>
      <w:tr w:rsidR="00D45989" w:rsidRPr="006205BE" w:rsidTr="00FA0A1C">
        <w:trPr>
          <w:trHeight w:hRule="exact" w:val="611"/>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所有者权益</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64895.99</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56593.66</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50180.66</w:t>
            </w:r>
          </w:p>
        </w:tc>
      </w:tr>
      <w:tr w:rsidR="00D45989" w:rsidRPr="006205BE" w:rsidTr="00FA0A1C">
        <w:trPr>
          <w:trHeight w:hRule="exact" w:val="517"/>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存款余额</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767629.30</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659005.07</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581740.82</w:t>
            </w:r>
          </w:p>
        </w:tc>
      </w:tr>
      <w:tr w:rsidR="00D45989" w:rsidRPr="006205BE" w:rsidTr="00FA0A1C">
        <w:trPr>
          <w:trHeight w:hRule="exact" w:val="586"/>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贷款余额</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496197.56</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413164.57</w:t>
            </w:r>
          </w:p>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339867.27</w:t>
            </w:r>
          </w:p>
        </w:tc>
      </w:tr>
      <w:tr w:rsidR="00D45989" w:rsidRPr="006205BE" w:rsidTr="00FA0A1C">
        <w:trPr>
          <w:trHeight w:hRule="exact" w:val="556"/>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每股收益（元）</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0.41</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0.39</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0.42</w:t>
            </w:r>
          </w:p>
        </w:tc>
      </w:tr>
      <w:tr w:rsidR="00D45989" w:rsidRPr="006205BE" w:rsidTr="00FA0A1C">
        <w:trPr>
          <w:trHeight w:hRule="exact" w:val="567"/>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每股净资产（元）</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2.81</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2.65</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2.54</w:t>
            </w:r>
          </w:p>
        </w:tc>
      </w:tr>
      <w:tr w:rsidR="00D45989" w:rsidRPr="006205BE" w:rsidTr="00FA0A1C">
        <w:trPr>
          <w:trHeight w:hRule="exact" w:val="526"/>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资本利润率（%）</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15.63</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15.74</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17.76</w:t>
            </w:r>
          </w:p>
        </w:tc>
      </w:tr>
      <w:tr w:rsidR="00D45989" w:rsidRPr="006205BE" w:rsidTr="00FA0A1C">
        <w:trPr>
          <w:trHeight w:hRule="exact" w:val="596"/>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资产利润率（%）</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1.18</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1.2</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1.38</w:t>
            </w:r>
          </w:p>
        </w:tc>
      </w:tr>
      <w:tr w:rsidR="00D45989" w:rsidRPr="006205BE" w:rsidTr="00FA0A1C">
        <w:trPr>
          <w:trHeight w:hRule="exact" w:val="615"/>
        </w:trPr>
        <w:tc>
          <w:tcPr>
            <w:tcW w:w="3349"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lastRenderedPageBreak/>
              <w:t>成本收入比例（%）</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27.76</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32.32</w:t>
            </w:r>
          </w:p>
        </w:tc>
        <w:tc>
          <w:tcPr>
            <w:tcW w:w="1943" w:type="dxa"/>
            <w:shd w:val="clear" w:color="auto" w:fill="auto"/>
          </w:tcPr>
          <w:p w:rsidR="00D45989" w:rsidRPr="006205BE"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6205BE">
              <w:rPr>
                <w:rFonts w:ascii="仿宋_GB2312" w:eastAsia="仿宋_GB2312" w:hAnsi="仿宋" w:cs="宋体" w:hint="eastAsia"/>
                <w:kern w:val="0"/>
                <w:sz w:val="30"/>
                <w:szCs w:val="30"/>
              </w:rPr>
              <w:t>34.02</w:t>
            </w:r>
          </w:p>
        </w:tc>
      </w:tr>
    </w:tbl>
    <w:p w:rsidR="00D45989" w:rsidRPr="000450C6" w:rsidRDefault="00D45989" w:rsidP="00D45989">
      <w:pPr>
        <w:widowControl/>
        <w:adjustRightInd w:val="0"/>
        <w:snapToGrid w:val="0"/>
        <w:spacing w:before="100" w:beforeAutospacing="1" w:after="100" w:afterAutospacing="1" w:line="600" w:lineRule="exact"/>
        <w:ind w:firstLineChars="100" w:firstLine="320"/>
        <w:jc w:val="left"/>
        <w:rPr>
          <w:rFonts w:ascii="楷体" w:eastAsia="楷体" w:hAnsi="楷体" w:cs="宋体"/>
          <w:b/>
          <w:kern w:val="0"/>
          <w:sz w:val="32"/>
          <w:szCs w:val="32"/>
        </w:rPr>
      </w:pPr>
      <w:r w:rsidRPr="000450C6">
        <w:rPr>
          <w:rFonts w:ascii="楷体" w:eastAsia="楷体" w:hAnsi="楷体" w:cs="宋体" w:hint="eastAsia"/>
          <w:b/>
          <w:kern w:val="0"/>
          <w:sz w:val="32"/>
          <w:szCs w:val="32"/>
        </w:rPr>
        <w:t>三、报告期末的补充财务指标                  单位：%</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1890"/>
        <w:gridCol w:w="2193"/>
      </w:tblGrid>
      <w:tr w:rsidR="00D45989" w:rsidRPr="000450C6" w:rsidTr="00FA0A1C">
        <w:trPr>
          <w:trHeight w:hRule="exact" w:val="662"/>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450C6">
              <w:rPr>
                <w:rFonts w:ascii="仿宋_GB2312" w:eastAsia="仿宋_GB2312" w:hAnsi="仿宋" w:cs="宋体" w:hint="eastAsia"/>
                <w:b/>
                <w:kern w:val="0"/>
                <w:sz w:val="30"/>
                <w:szCs w:val="30"/>
              </w:rPr>
              <w:t>主要指标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450C6">
              <w:rPr>
                <w:rFonts w:ascii="仿宋_GB2312" w:eastAsia="仿宋_GB2312" w:hAnsi="仿宋" w:cs="宋体" w:hint="eastAsia"/>
                <w:b/>
                <w:kern w:val="0"/>
                <w:sz w:val="30"/>
                <w:szCs w:val="30"/>
              </w:rPr>
              <w:t>标准值</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450C6">
              <w:rPr>
                <w:rFonts w:ascii="仿宋_GB2312" w:eastAsia="仿宋_GB2312" w:hAnsi="仿宋" w:cs="宋体" w:hint="eastAsia"/>
                <w:b/>
                <w:kern w:val="0"/>
                <w:sz w:val="30"/>
                <w:szCs w:val="30"/>
              </w:rPr>
              <w:t>2018年末</w:t>
            </w:r>
          </w:p>
        </w:tc>
      </w:tr>
      <w:tr w:rsidR="00D45989" w:rsidRPr="000450C6" w:rsidTr="00FA0A1C">
        <w:trPr>
          <w:trHeight w:hRule="exact" w:val="573"/>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资本充足率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≥10.5%</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13.44</w:t>
            </w:r>
          </w:p>
        </w:tc>
      </w:tr>
      <w:tr w:rsidR="00D45989" w:rsidRPr="000450C6" w:rsidTr="00FA0A1C">
        <w:trPr>
          <w:trHeight w:hRule="exact" w:val="567"/>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存贷比例</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≤75%</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64.64</w:t>
            </w:r>
          </w:p>
        </w:tc>
      </w:tr>
      <w:tr w:rsidR="00D45989" w:rsidRPr="000450C6" w:rsidTr="00FA0A1C">
        <w:trPr>
          <w:trHeight w:hRule="exact" w:val="561"/>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不良贷款率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≤5%</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2.45</w:t>
            </w:r>
          </w:p>
        </w:tc>
      </w:tr>
      <w:tr w:rsidR="00D45989" w:rsidRPr="000450C6" w:rsidTr="00FA0A1C">
        <w:trPr>
          <w:trHeight w:hRule="exact" w:val="569"/>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单一最大客户贷款比例</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5.22</w:t>
            </w:r>
          </w:p>
        </w:tc>
      </w:tr>
      <w:tr w:rsidR="00D45989" w:rsidRPr="000450C6" w:rsidTr="00FA0A1C">
        <w:trPr>
          <w:trHeight w:hRule="exact" w:val="577"/>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最大单一集团客户授</w:t>
            </w:r>
            <w:proofErr w:type="gramStart"/>
            <w:r w:rsidRPr="000450C6">
              <w:rPr>
                <w:rFonts w:ascii="仿宋_GB2312" w:eastAsia="仿宋_GB2312" w:hAnsi="仿宋" w:cs="宋体" w:hint="eastAsia"/>
                <w:kern w:val="0"/>
                <w:sz w:val="30"/>
                <w:szCs w:val="30"/>
              </w:rPr>
              <w:t>信比例</w:t>
            </w:r>
            <w:proofErr w:type="gramEnd"/>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5.22</w:t>
            </w:r>
          </w:p>
        </w:tc>
      </w:tr>
      <w:tr w:rsidR="00D45989" w:rsidRPr="000450C6" w:rsidTr="00FA0A1C">
        <w:trPr>
          <w:trHeight w:hRule="exact" w:val="557"/>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贷款</w:t>
            </w:r>
            <w:proofErr w:type="gramStart"/>
            <w:r w:rsidRPr="000450C6">
              <w:rPr>
                <w:rFonts w:ascii="仿宋_GB2312" w:eastAsia="仿宋_GB2312" w:hAnsi="仿宋" w:cs="宋体" w:hint="eastAsia"/>
                <w:kern w:val="0"/>
                <w:sz w:val="30"/>
                <w:szCs w:val="30"/>
              </w:rPr>
              <w:t>拨备率</w:t>
            </w:r>
            <w:proofErr w:type="gramEnd"/>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≥2.5%</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8.76</w:t>
            </w:r>
          </w:p>
        </w:tc>
      </w:tr>
      <w:tr w:rsidR="00D45989" w:rsidRPr="000450C6" w:rsidTr="00FA0A1C">
        <w:trPr>
          <w:trHeight w:hRule="exact" w:val="565"/>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贷款专项损失准备充足率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≥100</w:t>
            </w:r>
          </w:p>
        </w:tc>
        <w:tc>
          <w:tcPr>
            <w:tcW w:w="2193" w:type="dxa"/>
            <w:shd w:val="clear" w:color="auto" w:fill="auto"/>
          </w:tcPr>
          <w:p w:rsidR="00D45989" w:rsidRPr="002E3B04"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2E3B04">
              <w:rPr>
                <w:rFonts w:ascii="仿宋_GB2312" w:eastAsia="仿宋_GB2312" w:hAnsi="仿宋" w:cs="宋体" w:hint="eastAsia"/>
                <w:kern w:val="0"/>
                <w:sz w:val="30"/>
                <w:szCs w:val="30"/>
              </w:rPr>
              <w:t>122.02</w:t>
            </w:r>
          </w:p>
        </w:tc>
      </w:tr>
      <w:tr w:rsidR="00D45989" w:rsidRPr="000450C6" w:rsidTr="00FA0A1C">
        <w:trPr>
          <w:trHeight w:hRule="exact" w:val="559"/>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贷款损失准备覆盖率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≥150</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357.64</w:t>
            </w:r>
          </w:p>
        </w:tc>
      </w:tr>
      <w:tr w:rsidR="00D45989" w:rsidRPr="000450C6" w:rsidTr="00FA0A1C">
        <w:trPr>
          <w:trHeight w:hRule="exact" w:val="581"/>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不良资产率</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≤4%</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1.34</w:t>
            </w:r>
          </w:p>
        </w:tc>
      </w:tr>
      <w:tr w:rsidR="00D45989" w:rsidRPr="000450C6" w:rsidTr="00FA0A1C">
        <w:trPr>
          <w:trHeight w:hRule="exact" w:val="561"/>
        </w:trPr>
        <w:tc>
          <w:tcPr>
            <w:tcW w:w="5307"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流动性比例</w:t>
            </w:r>
          </w:p>
        </w:tc>
        <w:tc>
          <w:tcPr>
            <w:tcW w:w="1890"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≥25%</w:t>
            </w:r>
          </w:p>
        </w:tc>
        <w:tc>
          <w:tcPr>
            <w:tcW w:w="2193" w:type="dxa"/>
            <w:shd w:val="clear" w:color="auto" w:fill="auto"/>
          </w:tcPr>
          <w:p w:rsidR="00D45989" w:rsidRPr="000450C6"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450C6">
              <w:rPr>
                <w:rFonts w:ascii="仿宋_GB2312" w:eastAsia="仿宋_GB2312" w:hAnsi="仿宋" w:cs="宋体" w:hint="eastAsia"/>
                <w:kern w:val="0"/>
                <w:sz w:val="30"/>
                <w:szCs w:val="30"/>
              </w:rPr>
              <w:t>40.88</w:t>
            </w:r>
          </w:p>
        </w:tc>
      </w:tr>
      <w:tr w:rsidR="00D45989" w:rsidRPr="00F93B6F" w:rsidTr="00FA0A1C">
        <w:trPr>
          <w:trHeight w:hRule="exact" w:val="569"/>
        </w:trPr>
        <w:tc>
          <w:tcPr>
            <w:tcW w:w="5307" w:type="dxa"/>
            <w:shd w:val="clear" w:color="auto" w:fill="auto"/>
          </w:tcPr>
          <w:p w:rsidR="00D45989" w:rsidRPr="00F93B6F"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F93B6F">
              <w:rPr>
                <w:rFonts w:ascii="仿宋_GB2312" w:eastAsia="仿宋_GB2312" w:hAnsi="仿宋" w:cs="宋体" w:hint="eastAsia"/>
                <w:kern w:val="0"/>
                <w:sz w:val="30"/>
                <w:szCs w:val="30"/>
              </w:rPr>
              <w:t>到期贷款收回率</w:t>
            </w:r>
          </w:p>
        </w:tc>
        <w:tc>
          <w:tcPr>
            <w:tcW w:w="1890" w:type="dxa"/>
            <w:shd w:val="clear" w:color="auto" w:fill="auto"/>
          </w:tcPr>
          <w:p w:rsidR="00D45989" w:rsidRPr="00F93B6F"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93" w:type="dxa"/>
            <w:shd w:val="clear" w:color="auto" w:fill="auto"/>
          </w:tcPr>
          <w:p w:rsidR="00D45989" w:rsidRPr="00F93B6F"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F93B6F">
              <w:rPr>
                <w:rFonts w:ascii="仿宋_GB2312" w:eastAsia="仿宋_GB2312" w:hAnsi="仿宋" w:cs="宋体" w:hint="eastAsia"/>
                <w:kern w:val="0"/>
                <w:sz w:val="30"/>
                <w:szCs w:val="30"/>
              </w:rPr>
              <w:t>98.08</w:t>
            </w:r>
          </w:p>
        </w:tc>
      </w:tr>
      <w:tr w:rsidR="00D45989" w:rsidRPr="00F93B6F" w:rsidTr="00FA0A1C">
        <w:trPr>
          <w:trHeight w:hRule="exact" w:val="563"/>
        </w:trPr>
        <w:tc>
          <w:tcPr>
            <w:tcW w:w="5307" w:type="dxa"/>
            <w:shd w:val="clear" w:color="auto" w:fill="auto"/>
          </w:tcPr>
          <w:p w:rsidR="00D45989" w:rsidRPr="00F93B6F"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F93B6F">
              <w:rPr>
                <w:rFonts w:ascii="仿宋_GB2312" w:eastAsia="仿宋_GB2312" w:hAnsi="仿宋" w:cs="宋体" w:hint="eastAsia"/>
                <w:kern w:val="0"/>
                <w:sz w:val="30"/>
                <w:szCs w:val="30"/>
              </w:rPr>
              <w:t>正常贷款利息收回率</w:t>
            </w:r>
          </w:p>
        </w:tc>
        <w:tc>
          <w:tcPr>
            <w:tcW w:w="1890" w:type="dxa"/>
            <w:shd w:val="clear" w:color="auto" w:fill="auto"/>
          </w:tcPr>
          <w:p w:rsidR="00D45989" w:rsidRPr="00F93B6F"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93" w:type="dxa"/>
            <w:shd w:val="clear" w:color="auto" w:fill="auto"/>
          </w:tcPr>
          <w:p w:rsidR="00D45989" w:rsidRPr="00F93B6F"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F93B6F">
              <w:rPr>
                <w:rFonts w:ascii="仿宋_GB2312" w:eastAsia="仿宋_GB2312" w:hAnsi="仿宋" w:cs="宋体" w:hint="eastAsia"/>
                <w:kern w:val="0"/>
                <w:sz w:val="30"/>
                <w:szCs w:val="30"/>
              </w:rPr>
              <w:t>98.15</w:t>
            </w:r>
          </w:p>
        </w:tc>
      </w:tr>
    </w:tbl>
    <w:p w:rsidR="00D45989" w:rsidRPr="00F93B6F" w:rsidRDefault="00D45989" w:rsidP="00D45989">
      <w:pPr>
        <w:widowControl/>
        <w:adjustRightInd w:val="0"/>
        <w:snapToGrid w:val="0"/>
        <w:spacing w:before="100" w:beforeAutospacing="1" w:after="100" w:afterAutospacing="1" w:line="600" w:lineRule="exact"/>
        <w:ind w:firstLine="600"/>
        <w:jc w:val="left"/>
        <w:rPr>
          <w:rFonts w:ascii="楷体" w:eastAsia="楷体" w:hAnsi="楷体" w:cs="宋体"/>
          <w:b/>
          <w:kern w:val="0"/>
          <w:sz w:val="32"/>
          <w:szCs w:val="32"/>
        </w:rPr>
      </w:pPr>
      <w:r w:rsidRPr="00F93B6F">
        <w:rPr>
          <w:rFonts w:ascii="楷体" w:eastAsia="楷体" w:hAnsi="楷体" w:cs="宋体" w:hint="eastAsia"/>
          <w:b/>
          <w:kern w:val="0"/>
          <w:sz w:val="32"/>
          <w:szCs w:val="32"/>
        </w:rPr>
        <w:t>四、贷款损失准备金情况</w:t>
      </w:r>
    </w:p>
    <w:p w:rsidR="00D45989" w:rsidRDefault="00D45989" w:rsidP="00D45989">
      <w:pPr>
        <w:widowControl/>
        <w:adjustRightInd w:val="0"/>
        <w:snapToGrid w:val="0"/>
        <w:spacing w:before="100" w:beforeAutospacing="1" w:after="100" w:afterAutospacing="1" w:line="600" w:lineRule="exact"/>
        <w:ind w:firstLineChars="2250" w:firstLine="6750"/>
        <w:jc w:val="left"/>
        <w:rPr>
          <w:rFonts w:ascii="仿宋" w:eastAsia="仿宋" w:hAnsi="仿宋" w:cs="宋体"/>
          <w:kern w:val="0"/>
          <w:sz w:val="30"/>
          <w:szCs w:val="30"/>
        </w:rPr>
      </w:pPr>
      <w:r>
        <w:rPr>
          <w:rFonts w:ascii="仿宋" w:eastAsia="仿宋" w:hAnsi="仿宋" w:cs="宋体" w:hint="eastAsia"/>
          <w:kern w:val="0"/>
          <w:sz w:val="30"/>
          <w:szCs w:val="30"/>
        </w:rPr>
        <w:t>单位：万元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7"/>
        <w:gridCol w:w="2497"/>
      </w:tblGrid>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06422">
              <w:rPr>
                <w:rFonts w:ascii="仿宋_GB2312" w:eastAsia="仿宋_GB2312" w:hAnsi="仿宋" w:cs="宋体" w:hint="eastAsia"/>
                <w:b/>
                <w:kern w:val="0"/>
                <w:sz w:val="30"/>
                <w:szCs w:val="30"/>
              </w:rPr>
              <w:t>项目</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Pr>
                <w:rFonts w:ascii="仿宋_GB2312" w:eastAsia="仿宋_GB2312" w:hAnsi="仿宋" w:cs="宋体" w:hint="eastAsia"/>
                <w:b/>
                <w:kern w:val="0"/>
                <w:sz w:val="30"/>
                <w:szCs w:val="30"/>
              </w:rPr>
              <w:t>2018</w:t>
            </w:r>
            <w:r w:rsidRPr="00006422">
              <w:rPr>
                <w:rFonts w:ascii="仿宋_GB2312" w:eastAsia="仿宋_GB2312" w:hAnsi="仿宋" w:cs="宋体" w:hint="eastAsia"/>
                <w:b/>
                <w:kern w:val="0"/>
                <w:sz w:val="30"/>
                <w:szCs w:val="30"/>
              </w:rPr>
              <w:t>年</w:t>
            </w: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期初余额</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34643.51</w:t>
            </w: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报告期从本年损益中计提</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11445.47</w:t>
            </w: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报告期从所有者权益中转入</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报告期收回</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3160.56</w:t>
            </w: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lastRenderedPageBreak/>
              <w:t>报告期转出</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报告期核销</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5802.05</w:t>
            </w: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其他变化</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633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期末余额</w:t>
            </w:r>
          </w:p>
        </w:tc>
        <w:tc>
          <w:tcPr>
            <w:tcW w:w="2497"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43447.49</w:t>
            </w:r>
          </w:p>
        </w:tc>
      </w:tr>
    </w:tbl>
    <w:p w:rsidR="00D45989" w:rsidRDefault="00D45989" w:rsidP="00D45989">
      <w:pPr>
        <w:adjustRightInd w:val="0"/>
        <w:snapToGrid w:val="0"/>
        <w:spacing w:line="600" w:lineRule="exact"/>
        <w:rPr>
          <w:rFonts w:ascii="仿宋" w:eastAsia="仿宋" w:hAnsi="仿宋" w:cs="宋体"/>
          <w:b/>
          <w:bCs/>
          <w:sz w:val="30"/>
          <w:szCs w:val="30"/>
        </w:rPr>
      </w:pPr>
    </w:p>
    <w:p w:rsidR="00D45989" w:rsidRPr="003E3289" w:rsidRDefault="00D45989" w:rsidP="00D45989">
      <w:pPr>
        <w:adjustRightInd w:val="0"/>
        <w:snapToGrid w:val="0"/>
        <w:spacing w:line="600" w:lineRule="exact"/>
        <w:rPr>
          <w:rFonts w:ascii="楷体" w:eastAsia="楷体" w:hAnsi="楷体" w:cs="宋体"/>
          <w:b/>
          <w:bCs/>
          <w:sz w:val="30"/>
          <w:szCs w:val="30"/>
        </w:rPr>
      </w:pPr>
      <w:r w:rsidRPr="003E3289">
        <w:rPr>
          <w:rFonts w:ascii="楷体" w:eastAsia="楷体" w:hAnsi="楷体" w:cs="宋体" w:hint="eastAsia"/>
          <w:b/>
          <w:bCs/>
          <w:sz w:val="30"/>
          <w:szCs w:val="30"/>
        </w:rPr>
        <w:t>五、资本的构成及其变化情况</w:t>
      </w:r>
    </w:p>
    <w:p w:rsidR="00D45989" w:rsidRPr="003E3289" w:rsidRDefault="00D45989" w:rsidP="00D45989">
      <w:pPr>
        <w:adjustRightInd w:val="0"/>
        <w:snapToGrid w:val="0"/>
        <w:spacing w:line="600" w:lineRule="exact"/>
        <w:ind w:firstLineChars="2200" w:firstLine="6600"/>
        <w:rPr>
          <w:rFonts w:ascii="仿宋" w:eastAsia="仿宋" w:hAnsi="仿宋" w:cs="宋体"/>
          <w:bCs/>
          <w:sz w:val="30"/>
          <w:szCs w:val="30"/>
        </w:rPr>
      </w:pPr>
      <w:r w:rsidRPr="003E3289">
        <w:rPr>
          <w:rFonts w:ascii="仿宋" w:eastAsia="仿宋" w:hAnsi="仿宋" w:cs="宋体" w:hint="eastAsia"/>
          <w:bCs/>
          <w:sz w:val="30"/>
          <w:szCs w:val="30"/>
        </w:rPr>
        <w:t>单位：万元</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3"/>
        <w:gridCol w:w="1762"/>
        <w:gridCol w:w="2179"/>
      </w:tblGrid>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3E3289">
              <w:rPr>
                <w:rFonts w:ascii="仿宋_GB2312" w:eastAsia="仿宋_GB2312" w:hAnsi="仿宋" w:cs="宋体" w:hint="eastAsia"/>
                <w:b/>
                <w:kern w:val="0"/>
                <w:sz w:val="30"/>
                <w:szCs w:val="30"/>
              </w:rPr>
              <w:t>主要指标</w:t>
            </w:r>
          </w:p>
        </w:tc>
        <w:tc>
          <w:tcPr>
            <w:tcW w:w="1762"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3E3289">
              <w:rPr>
                <w:rFonts w:ascii="仿宋_GB2312" w:eastAsia="仿宋_GB2312" w:hAnsi="仿宋" w:cs="宋体" w:hint="eastAsia"/>
                <w:b/>
                <w:kern w:val="0"/>
                <w:sz w:val="30"/>
                <w:szCs w:val="30"/>
              </w:rPr>
              <w:t>标准值</w:t>
            </w:r>
          </w:p>
        </w:tc>
        <w:tc>
          <w:tcPr>
            <w:tcW w:w="2179"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3E3289">
              <w:rPr>
                <w:rFonts w:ascii="仿宋_GB2312" w:eastAsia="仿宋_GB2312" w:hAnsi="仿宋" w:cs="宋体" w:hint="eastAsia"/>
                <w:b/>
                <w:kern w:val="0"/>
                <w:sz w:val="30"/>
                <w:szCs w:val="30"/>
              </w:rPr>
              <w:t>2018年末</w:t>
            </w:r>
          </w:p>
        </w:tc>
      </w:tr>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资本净额</w:t>
            </w:r>
          </w:p>
        </w:tc>
        <w:tc>
          <w:tcPr>
            <w:tcW w:w="1762" w:type="dxa"/>
            <w:shd w:val="clear" w:color="auto" w:fill="auto"/>
          </w:tcPr>
          <w:p w:rsidR="00D45989" w:rsidRPr="003E3289"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79"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kern w:val="0"/>
                <w:sz w:val="30"/>
                <w:szCs w:val="30"/>
              </w:rPr>
              <w:t>70346.11</w:t>
            </w:r>
          </w:p>
        </w:tc>
      </w:tr>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其中：核心一级资本净额</w:t>
            </w:r>
          </w:p>
        </w:tc>
        <w:tc>
          <w:tcPr>
            <w:tcW w:w="1762" w:type="dxa"/>
            <w:shd w:val="clear" w:color="auto" w:fill="auto"/>
          </w:tcPr>
          <w:p w:rsidR="00D45989" w:rsidRPr="003E3289"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79"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kern w:val="0"/>
                <w:sz w:val="30"/>
                <w:szCs w:val="30"/>
              </w:rPr>
              <w:t>64612.79</w:t>
            </w:r>
          </w:p>
        </w:tc>
      </w:tr>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加权风险资产</w:t>
            </w:r>
          </w:p>
        </w:tc>
        <w:tc>
          <w:tcPr>
            <w:tcW w:w="1762" w:type="dxa"/>
            <w:shd w:val="clear" w:color="auto" w:fill="auto"/>
          </w:tcPr>
          <w:p w:rsidR="00D45989" w:rsidRPr="003E3289"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79" w:type="dxa"/>
            <w:shd w:val="clear" w:color="auto" w:fill="auto"/>
          </w:tcPr>
          <w:p w:rsidR="00D45989" w:rsidRPr="003E3289" w:rsidRDefault="00D45989" w:rsidP="00FA0A1C">
            <w:pPr>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523498.94</w:t>
            </w:r>
          </w:p>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RPr="003E3289" w:rsidTr="00FA0A1C">
        <w:trPr>
          <w:trHeight w:hRule="exact" w:val="510"/>
        </w:trPr>
        <w:tc>
          <w:tcPr>
            <w:tcW w:w="4893" w:type="dxa"/>
            <w:shd w:val="clear" w:color="auto" w:fill="FFFFFF"/>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一级资本净额（万元）</w:t>
            </w:r>
          </w:p>
        </w:tc>
        <w:tc>
          <w:tcPr>
            <w:tcW w:w="1762" w:type="dxa"/>
            <w:shd w:val="clear" w:color="auto" w:fill="FFFFFF"/>
          </w:tcPr>
          <w:p w:rsidR="00D45989" w:rsidRPr="003E3289" w:rsidRDefault="00D45989" w:rsidP="00FA0A1C">
            <w:pPr>
              <w:widowControl/>
              <w:adjustRightInd w:val="0"/>
              <w:snapToGrid w:val="0"/>
              <w:spacing w:line="600" w:lineRule="exact"/>
              <w:jc w:val="center"/>
              <w:rPr>
                <w:rFonts w:ascii="仿宋_GB2312" w:eastAsia="仿宋_GB2312" w:hAnsi="仿宋" w:cs="宋体"/>
                <w:kern w:val="0"/>
                <w:sz w:val="30"/>
                <w:szCs w:val="30"/>
              </w:rPr>
            </w:pPr>
          </w:p>
        </w:tc>
        <w:tc>
          <w:tcPr>
            <w:tcW w:w="2179" w:type="dxa"/>
            <w:shd w:val="clear" w:color="auto" w:fill="FFFFFF"/>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kern w:val="0"/>
                <w:sz w:val="30"/>
                <w:szCs w:val="30"/>
              </w:rPr>
              <w:t>64612.79</w:t>
            </w:r>
          </w:p>
        </w:tc>
      </w:tr>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核心一级资本充足率(%）</w:t>
            </w:r>
          </w:p>
        </w:tc>
        <w:tc>
          <w:tcPr>
            <w:tcW w:w="1762"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≥7.5%</w:t>
            </w:r>
          </w:p>
        </w:tc>
        <w:tc>
          <w:tcPr>
            <w:tcW w:w="2179"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12.34</w:t>
            </w:r>
          </w:p>
        </w:tc>
      </w:tr>
      <w:tr w:rsidR="00D45989" w:rsidRPr="003E3289" w:rsidTr="00FA0A1C">
        <w:trPr>
          <w:trHeight w:hRule="exact" w:val="510"/>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一级资本充足率(%）</w:t>
            </w:r>
          </w:p>
        </w:tc>
        <w:tc>
          <w:tcPr>
            <w:tcW w:w="1762"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≥8.5%</w:t>
            </w:r>
          </w:p>
        </w:tc>
        <w:tc>
          <w:tcPr>
            <w:tcW w:w="2179"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12.34</w:t>
            </w:r>
          </w:p>
        </w:tc>
      </w:tr>
      <w:tr w:rsidR="00D45989" w:rsidTr="00FA0A1C">
        <w:trPr>
          <w:trHeight w:hRule="exact" w:val="584"/>
        </w:trPr>
        <w:tc>
          <w:tcPr>
            <w:tcW w:w="4893"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资本充足率(%）</w:t>
            </w:r>
          </w:p>
        </w:tc>
        <w:tc>
          <w:tcPr>
            <w:tcW w:w="1762" w:type="dxa"/>
            <w:shd w:val="clear" w:color="auto" w:fill="auto"/>
          </w:tcPr>
          <w:p w:rsidR="00D45989" w:rsidRPr="003E3289"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≥10.5%</w:t>
            </w:r>
          </w:p>
        </w:tc>
        <w:tc>
          <w:tcPr>
            <w:tcW w:w="2179"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3E3289">
              <w:rPr>
                <w:rFonts w:ascii="仿宋_GB2312" w:eastAsia="仿宋_GB2312" w:hAnsi="仿宋" w:cs="宋体" w:hint="eastAsia"/>
                <w:kern w:val="0"/>
                <w:sz w:val="30"/>
                <w:szCs w:val="30"/>
              </w:rPr>
              <w:t>13.44</w:t>
            </w:r>
          </w:p>
        </w:tc>
      </w:tr>
    </w:tbl>
    <w:p w:rsidR="00D45989" w:rsidRDefault="00D45989" w:rsidP="00D45989">
      <w:pPr>
        <w:adjustRightInd w:val="0"/>
        <w:snapToGrid w:val="0"/>
        <w:spacing w:line="600" w:lineRule="exact"/>
        <w:rPr>
          <w:rFonts w:ascii="楷体" w:eastAsia="楷体" w:hAnsi="楷体" w:cs="宋体"/>
          <w:b/>
          <w:bCs/>
          <w:sz w:val="30"/>
          <w:szCs w:val="30"/>
        </w:rPr>
      </w:pPr>
    </w:p>
    <w:p w:rsidR="00D45989" w:rsidRPr="00006422" w:rsidRDefault="00D45989" w:rsidP="00D45989">
      <w:pPr>
        <w:adjustRightInd w:val="0"/>
        <w:snapToGrid w:val="0"/>
        <w:spacing w:line="600" w:lineRule="exact"/>
        <w:rPr>
          <w:rFonts w:ascii="楷体" w:eastAsia="楷体" w:hAnsi="楷体" w:cs="宋体"/>
          <w:b/>
          <w:bCs/>
          <w:sz w:val="30"/>
          <w:szCs w:val="30"/>
        </w:rPr>
      </w:pPr>
      <w:r w:rsidRPr="00006422">
        <w:rPr>
          <w:rFonts w:ascii="楷体" w:eastAsia="楷体" w:hAnsi="楷体" w:cs="宋体" w:hint="eastAsia"/>
          <w:b/>
          <w:bCs/>
          <w:sz w:val="30"/>
          <w:szCs w:val="30"/>
        </w:rPr>
        <w:t>六、杠杆率情况表</w:t>
      </w:r>
    </w:p>
    <w:p w:rsidR="00D45989" w:rsidRDefault="00D45989" w:rsidP="00D45989">
      <w:pPr>
        <w:adjustRightInd w:val="0"/>
        <w:snapToGrid w:val="0"/>
        <w:spacing w:line="600" w:lineRule="exact"/>
        <w:ind w:firstLineChars="2100" w:firstLine="6300"/>
        <w:rPr>
          <w:rFonts w:ascii="仿宋_GB2312" w:eastAsia="仿宋_GB2312"/>
          <w:bCs/>
          <w:sz w:val="30"/>
          <w:szCs w:val="30"/>
        </w:rPr>
      </w:pPr>
      <w:r>
        <w:rPr>
          <w:rFonts w:ascii="仿宋_GB2312" w:eastAsia="仿宋_GB2312" w:hint="eastAsia"/>
          <w:bCs/>
          <w:sz w:val="30"/>
          <w:szCs w:val="30"/>
        </w:rPr>
        <w:t>单位：万元</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3561"/>
      </w:tblGrid>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06422">
              <w:rPr>
                <w:rFonts w:ascii="仿宋_GB2312" w:eastAsia="仿宋_GB2312" w:hAnsi="仿宋" w:cs="宋体" w:hint="eastAsia"/>
                <w:b/>
                <w:kern w:val="0"/>
                <w:sz w:val="30"/>
                <w:szCs w:val="30"/>
              </w:rPr>
              <w:t>主要指标</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Pr>
                <w:rFonts w:ascii="仿宋_GB2312" w:eastAsia="仿宋_GB2312" w:hAnsi="仿宋" w:cs="宋体" w:hint="eastAsia"/>
                <w:b/>
                <w:kern w:val="0"/>
                <w:sz w:val="30"/>
                <w:szCs w:val="30"/>
              </w:rPr>
              <w:t>2018</w:t>
            </w:r>
            <w:r w:rsidRPr="00006422">
              <w:rPr>
                <w:rFonts w:ascii="仿宋_GB2312" w:eastAsia="仿宋_GB2312" w:hAnsi="仿宋" w:cs="宋体" w:hint="eastAsia"/>
                <w:b/>
                <w:kern w:val="0"/>
                <w:sz w:val="30"/>
                <w:szCs w:val="30"/>
              </w:rPr>
              <w:t>年末</w:t>
            </w: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1.核心一级资本</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64895.98</w:t>
            </w: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2.核心一级资本扣减项</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283.19</w:t>
            </w: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3、核心一级资本净额</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64612.79</w:t>
            </w: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4.表内总资产</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860022.92</w:t>
            </w: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4.1其中：衍生金融资产</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5073"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5.表外业务（不含衍生产品）</w:t>
            </w:r>
          </w:p>
        </w:tc>
        <w:tc>
          <w:tcPr>
            <w:tcW w:w="3561"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56.18</w:t>
            </w:r>
          </w:p>
        </w:tc>
      </w:tr>
      <w:tr w:rsidR="00D45989" w:rsidTr="00FA0A1C">
        <w:trPr>
          <w:trHeight w:hRule="exact" w:val="510"/>
        </w:trPr>
        <w:tc>
          <w:tcPr>
            <w:tcW w:w="5073"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5.1其中：无条件可撤销的承诺</w:t>
            </w:r>
          </w:p>
        </w:tc>
        <w:tc>
          <w:tcPr>
            <w:tcW w:w="3561"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5073"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lastRenderedPageBreak/>
              <w:t>6.衍生产品（用现期风险暴露法计算）</w:t>
            </w:r>
          </w:p>
        </w:tc>
        <w:tc>
          <w:tcPr>
            <w:tcW w:w="3561"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p>
        </w:tc>
      </w:tr>
      <w:tr w:rsidR="00D45989" w:rsidTr="00FA0A1C">
        <w:trPr>
          <w:trHeight w:hRule="exact" w:val="510"/>
        </w:trPr>
        <w:tc>
          <w:tcPr>
            <w:tcW w:w="5073"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7.杠杆率（%）</w:t>
            </w:r>
          </w:p>
        </w:tc>
        <w:tc>
          <w:tcPr>
            <w:tcW w:w="3561" w:type="dxa"/>
            <w:shd w:val="clear" w:color="auto" w:fill="FFFFFF"/>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Pr>
                <w:rFonts w:ascii="仿宋_GB2312" w:eastAsia="仿宋_GB2312" w:hAnsi="仿宋" w:cs="宋体" w:hint="eastAsia"/>
                <w:kern w:val="0"/>
                <w:sz w:val="30"/>
                <w:szCs w:val="30"/>
              </w:rPr>
              <w:t>7.51</w:t>
            </w:r>
          </w:p>
        </w:tc>
      </w:tr>
    </w:tbl>
    <w:p w:rsidR="00D45989" w:rsidRDefault="00D45989" w:rsidP="00D45989">
      <w:pPr>
        <w:adjustRightInd w:val="0"/>
        <w:snapToGrid w:val="0"/>
        <w:spacing w:line="600" w:lineRule="exact"/>
        <w:rPr>
          <w:rFonts w:ascii="仿宋_GB2312" w:eastAsia="仿宋_GB2312"/>
          <w:b/>
          <w:bCs/>
          <w:sz w:val="30"/>
          <w:szCs w:val="30"/>
        </w:rPr>
      </w:pPr>
    </w:p>
    <w:p w:rsidR="00D45989" w:rsidRPr="00006422" w:rsidRDefault="00D45989" w:rsidP="00D45989">
      <w:pPr>
        <w:adjustRightInd w:val="0"/>
        <w:snapToGrid w:val="0"/>
        <w:spacing w:line="600" w:lineRule="exact"/>
        <w:rPr>
          <w:rFonts w:ascii="楷体" w:eastAsia="楷体" w:hAnsi="楷体" w:cs="宋体"/>
          <w:b/>
          <w:bCs/>
          <w:sz w:val="30"/>
          <w:szCs w:val="30"/>
        </w:rPr>
      </w:pPr>
      <w:r w:rsidRPr="00006422">
        <w:rPr>
          <w:rFonts w:ascii="楷体" w:eastAsia="楷体" w:hAnsi="楷体" w:cs="宋体" w:hint="eastAsia"/>
          <w:b/>
          <w:bCs/>
          <w:sz w:val="30"/>
          <w:szCs w:val="30"/>
        </w:rPr>
        <w:t>七、报告期内股东权益变化情况</w:t>
      </w:r>
    </w:p>
    <w:p w:rsidR="00D45989" w:rsidRDefault="00D45989" w:rsidP="00D45989">
      <w:pPr>
        <w:adjustRightInd w:val="0"/>
        <w:snapToGrid w:val="0"/>
        <w:spacing w:line="600" w:lineRule="exact"/>
        <w:ind w:firstLineChars="1750" w:firstLine="5250"/>
        <w:rPr>
          <w:rFonts w:ascii="仿宋_GB2312" w:eastAsia="仿宋_GB2312"/>
          <w:bCs/>
          <w:sz w:val="30"/>
          <w:szCs w:val="30"/>
        </w:rPr>
      </w:pPr>
      <w:r>
        <w:rPr>
          <w:rFonts w:ascii="仿宋_GB2312" w:eastAsia="仿宋_GB2312" w:hint="eastAsia"/>
          <w:bCs/>
          <w:sz w:val="30"/>
          <w:szCs w:val="30"/>
        </w:rPr>
        <w:t>单位：万股  万元</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372"/>
        <w:gridCol w:w="1559"/>
        <w:gridCol w:w="1559"/>
        <w:gridCol w:w="1701"/>
        <w:gridCol w:w="1744"/>
      </w:tblGrid>
      <w:tr w:rsidR="00D45989" w:rsidTr="009D5898">
        <w:trPr>
          <w:trHeight w:hRule="exact" w:val="647"/>
        </w:trPr>
        <w:tc>
          <w:tcPr>
            <w:tcW w:w="1288" w:type="dxa"/>
            <w:shd w:val="clear" w:color="auto" w:fill="auto"/>
          </w:tcPr>
          <w:p w:rsidR="00D45989" w:rsidRPr="00006422" w:rsidRDefault="00D45989" w:rsidP="00FA0A1C">
            <w:pPr>
              <w:widowControl/>
              <w:adjustRightInd w:val="0"/>
              <w:snapToGrid w:val="0"/>
              <w:spacing w:before="100" w:beforeAutospacing="1" w:after="100" w:afterAutospacing="1" w:line="600" w:lineRule="exact"/>
              <w:rPr>
                <w:rFonts w:ascii="仿宋_GB2312" w:eastAsia="仿宋_GB2312" w:hAnsi="仿宋" w:cs="宋体"/>
                <w:b/>
                <w:kern w:val="0"/>
                <w:sz w:val="30"/>
                <w:szCs w:val="30"/>
              </w:rPr>
            </w:pPr>
            <w:r w:rsidRPr="00006422">
              <w:rPr>
                <w:rFonts w:ascii="仿宋_GB2312" w:eastAsia="仿宋_GB2312" w:hAnsi="仿宋" w:cs="宋体" w:hint="eastAsia"/>
                <w:b/>
                <w:kern w:val="0"/>
                <w:sz w:val="30"/>
                <w:szCs w:val="30"/>
              </w:rPr>
              <w:t>项目</w:t>
            </w:r>
          </w:p>
        </w:tc>
        <w:tc>
          <w:tcPr>
            <w:tcW w:w="1372"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006422">
              <w:rPr>
                <w:rFonts w:ascii="仿宋_GB2312" w:eastAsia="仿宋_GB2312" w:hAnsi="仿宋" w:cs="宋体" w:hint="eastAsia"/>
                <w:b/>
                <w:kern w:val="0"/>
                <w:sz w:val="30"/>
                <w:szCs w:val="30"/>
              </w:rPr>
              <w:t>股本</w:t>
            </w:r>
          </w:p>
        </w:tc>
        <w:tc>
          <w:tcPr>
            <w:tcW w:w="1559" w:type="dxa"/>
          </w:tcPr>
          <w:p w:rsidR="00D45989" w:rsidRPr="00006422" w:rsidRDefault="009D5898"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Pr>
                <w:rFonts w:ascii="仿宋_GB2312" w:eastAsia="仿宋_GB2312" w:hAnsi="仿宋" w:cs="宋体" w:hint="eastAsia"/>
                <w:b/>
                <w:kern w:val="0"/>
                <w:sz w:val="30"/>
                <w:szCs w:val="30"/>
              </w:rPr>
              <w:t>盈余公</w:t>
            </w:r>
            <w:r w:rsidR="00D45989" w:rsidRPr="00006422">
              <w:rPr>
                <w:rFonts w:ascii="仿宋_GB2312" w:eastAsia="仿宋_GB2312" w:hAnsi="仿宋" w:cs="宋体" w:hint="eastAsia"/>
                <w:b/>
                <w:kern w:val="0"/>
                <w:sz w:val="30"/>
                <w:szCs w:val="30"/>
              </w:rPr>
              <w:t>积</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Cs w:val="21"/>
              </w:rPr>
            </w:pPr>
            <w:r w:rsidRPr="005111C0">
              <w:rPr>
                <w:rFonts w:ascii="仿宋_GB2312" w:eastAsia="仿宋_GB2312" w:hAnsi="仿宋" w:cs="宋体" w:hint="eastAsia"/>
                <w:b/>
                <w:kern w:val="0"/>
                <w:szCs w:val="21"/>
              </w:rPr>
              <w:t>一般风险准备</w:t>
            </w:r>
          </w:p>
        </w:tc>
        <w:tc>
          <w:tcPr>
            <w:tcW w:w="1701"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Cs w:val="21"/>
              </w:rPr>
            </w:pPr>
            <w:r w:rsidRPr="005111C0">
              <w:rPr>
                <w:rFonts w:ascii="仿宋_GB2312" w:eastAsia="仿宋_GB2312" w:hAnsi="仿宋" w:cs="宋体" w:hint="eastAsia"/>
                <w:b/>
                <w:kern w:val="0"/>
                <w:szCs w:val="21"/>
              </w:rPr>
              <w:t>未分配利润</w:t>
            </w:r>
          </w:p>
        </w:tc>
        <w:tc>
          <w:tcPr>
            <w:tcW w:w="1744"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24"/>
              </w:rPr>
            </w:pPr>
            <w:r w:rsidRPr="005111C0">
              <w:rPr>
                <w:rFonts w:ascii="仿宋_GB2312" w:eastAsia="仿宋_GB2312" w:hAnsi="仿宋" w:cs="宋体" w:hint="eastAsia"/>
                <w:b/>
                <w:kern w:val="0"/>
                <w:sz w:val="24"/>
              </w:rPr>
              <w:t>股东权益合计</w:t>
            </w:r>
          </w:p>
        </w:tc>
      </w:tr>
      <w:tr w:rsidR="00D45989" w:rsidTr="009D5898">
        <w:trPr>
          <w:trHeight w:hRule="exact" w:val="510"/>
        </w:trPr>
        <w:tc>
          <w:tcPr>
            <w:tcW w:w="1288"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期初数</w:t>
            </w:r>
          </w:p>
        </w:tc>
        <w:tc>
          <w:tcPr>
            <w:tcW w:w="1372"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sidRPr="005111C0">
              <w:rPr>
                <w:rFonts w:ascii="仿宋_GB2312" w:eastAsia="仿宋_GB2312" w:hAnsi="仿宋" w:cs="宋体" w:hint="eastAsia"/>
                <w:kern w:val="0"/>
                <w:sz w:val="28"/>
                <w:szCs w:val="28"/>
              </w:rPr>
              <w:t>21346.75</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10490.33</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sidRPr="005111C0">
              <w:rPr>
                <w:rFonts w:ascii="仿宋_GB2312" w:eastAsia="仿宋_GB2312" w:hAnsi="仿宋" w:cs="宋体" w:hint="eastAsia"/>
                <w:kern w:val="0"/>
                <w:sz w:val="28"/>
                <w:szCs w:val="28"/>
              </w:rPr>
              <w:t>12651.0</w:t>
            </w:r>
            <w:r>
              <w:rPr>
                <w:rFonts w:ascii="仿宋_GB2312" w:eastAsia="仿宋_GB2312" w:hAnsi="仿宋" w:cs="宋体" w:hint="eastAsia"/>
                <w:kern w:val="0"/>
                <w:sz w:val="28"/>
                <w:szCs w:val="28"/>
              </w:rPr>
              <w:t>7</w:t>
            </w:r>
          </w:p>
        </w:tc>
        <w:tc>
          <w:tcPr>
            <w:tcW w:w="1701"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12105.51</w:t>
            </w:r>
          </w:p>
        </w:tc>
        <w:tc>
          <w:tcPr>
            <w:tcW w:w="1744"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56593.66</w:t>
            </w:r>
          </w:p>
        </w:tc>
      </w:tr>
      <w:tr w:rsidR="00D45989" w:rsidTr="009D5898">
        <w:trPr>
          <w:trHeight w:hRule="exact" w:val="510"/>
        </w:trPr>
        <w:tc>
          <w:tcPr>
            <w:tcW w:w="1288"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本期增加</w:t>
            </w:r>
          </w:p>
        </w:tc>
        <w:tc>
          <w:tcPr>
            <w:tcW w:w="1372"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sidRPr="005111C0">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228.11</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1191.01</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3340.05</w:t>
            </w:r>
          </w:p>
        </w:tc>
        <w:tc>
          <w:tcPr>
            <w:tcW w:w="1701"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15120.03</w:t>
            </w:r>
          </w:p>
        </w:tc>
        <w:tc>
          <w:tcPr>
            <w:tcW w:w="1744"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21879.2</w:t>
            </w:r>
          </w:p>
        </w:tc>
      </w:tr>
      <w:tr w:rsidR="00D45989" w:rsidTr="009D5898">
        <w:trPr>
          <w:trHeight w:hRule="exact" w:val="510"/>
        </w:trPr>
        <w:tc>
          <w:tcPr>
            <w:tcW w:w="1288"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本期减少</w:t>
            </w:r>
          </w:p>
        </w:tc>
        <w:tc>
          <w:tcPr>
            <w:tcW w:w="1372"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520.37</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p>
        </w:tc>
        <w:tc>
          <w:tcPr>
            <w:tcW w:w="1701"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13056.50</w:t>
            </w:r>
          </w:p>
        </w:tc>
        <w:tc>
          <w:tcPr>
            <w:tcW w:w="1744"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13576.87</w:t>
            </w:r>
          </w:p>
        </w:tc>
      </w:tr>
      <w:tr w:rsidR="00D45989" w:rsidTr="009D5898">
        <w:trPr>
          <w:trHeight w:hRule="exact" w:val="510"/>
        </w:trPr>
        <w:tc>
          <w:tcPr>
            <w:tcW w:w="1288" w:type="dxa"/>
            <w:shd w:val="clear" w:color="auto" w:fill="auto"/>
          </w:tcPr>
          <w:p w:rsidR="00D45989" w:rsidRPr="00006422"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006422">
              <w:rPr>
                <w:rFonts w:ascii="仿宋_GB2312" w:eastAsia="仿宋_GB2312" w:hAnsi="仿宋" w:cs="宋体" w:hint="eastAsia"/>
                <w:kern w:val="0"/>
                <w:sz w:val="30"/>
                <w:szCs w:val="30"/>
              </w:rPr>
              <w:t>期末数</w:t>
            </w:r>
          </w:p>
        </w:tc>
        <w:tc>
          <w:tcPr>
            <w:tcW w:w="1372"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23054.49</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11681.34</w:t>
            </w:r>
          </w:p>
        </w:tc>
        <w:tc>
          <w:tcPr>
            <w:tcW w:w="1559"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15991.13</w:t>
            </w:r>
          </w:p>
        </w:tc>
        <w:tc>
          <w:tcPr>
            <w:tcW w:w="1701" w:type="dxa"/>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14169.03</w:t>
            </w:r>
          </w:p>
        </w:tc>
        <w:tc>
          <w:tcPr>
            <w:tcW w:w="1744" w:type="dxa"/>
            <w:shd w:val="clear" w:color="auto" w:fill="auto"/>
          </w:tcPr>
          <w:p w:rsidR="00D45989" w:rsidRPr="005111C0"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64895.99</w:t>
            </w:r>
          </w:p>
        </w:tc>
      </w:tr>
    </w:tbl>
    <w:p w:rsidR="00D45989" w:rsidRDefault="00D45989" w:rsidP="00D45989">
      <w:pPr>
        <w:adjustRightInd w:val="0"/>
        <w:snapToGrid w:val="0"/>
        <w:spacing w:line="600" w:lineRule="exact"/>
        <w:jc w:val="center"/>
        <w:rPr>
          <w:rFonts w:ascii="仿宋_GB2312" w:eastAsia="仿宋_GB2312"/>
          <w:b/>
          <w:bCs/>
          <w:sz w:val="30"/>
          <w:szCs w:val="30"/>
        </w:rPr>
      </w:pPr>
    </w:p>
    <w:p w:rsidR="00D45989" w:rsidRDefault="00D45989" w:rsidP="00D45989">
      <w:pPr>
        <w:adjustRightInd w:val="0"/>
        <w:snapToGrid w:val="0"/>
        <w:spacing w:line="600" w:lineRule="exact"/>
        <w:jc w:val="center"/>
        <w:rPr>
          <w:rFonts w:ascii="仿宋_GB2312" w:eastAsia="仿宋_GB2312"/>
          <w:b/>
          <w:bCs/>
          <w:sz w:val="30"/>
          <w:szCs w:val="30"/>
        </w:rPr>
      </w:pPr>
    </w:p>
    <w:p w:rsidR="00D45989" w:rsidRPr="008D4BC3" w:rsidRDefault="00D45989" w:rsidP="00D45989">
      <w:pPr>
        <w:adjustRightInd w:val="0"/>
        <w:snapToGrid w:val="0"/>
        <w:spacing w:line="600" w:lineRule="exact"/>
        <w:jc w:val="center"/>
        <w:rPr>
          <w:rFonts w:ascii="黑体" w:eastAsia="黑体" w:hAnsi="黑体"/>
          <w:color w:val="000000"/>
          <w:sz w:val="32"/>
          <w:szCs w:val="32"/>
        </w:rPr>
      </w:pPr>
      <w:r w:rsidRPr="008D4BC3">
        <w:rPr>
          <w:rFonts w:ascii="黑体" w:eastAsia="黑体" w:hAnsi="黑体" w:hint="eastAsia"/>
          <w:color w:val="000000"/>
          <w:sz w:val="32"/>
          <w:szCs w:val="32"/>
        </w:rPr>
        <w:t>第四节  股本和股东情况</w:t>
      </w:r>
    </w:p>
    <w:p w:rsidR="00D45989" w:rsidRPr="008D4BC3" w:rsidRDefault="00D45989" w:rsidP="00D45989">
      <w:pPr>
        <w:adjustRightInd w:val="0"/>
        <w:snapToGrid w:val="0"/>
        <w:spacing w:line="600" w:lineRule="exact"/>
        <w:ind w:firstLineChars="200" w:firstLine="640"/>
        <w:jc w:val="left"/>
        <w:rPr>
          <w:rFonts w:ascii="楷体" w:eastAsia="楷体" w:hAnsi="楷体"/>
          <w:b/>
          <w:color w:val="000000"/>
          <w:sz w:val="32"/>
          <w:szCs w:val="32"/>
        </w:rPr>
      </w:pPr>
      <w:r w:rsidRPr="008D4BC3">
        <w:rPr>
          <w:rFonts w:ascii="楷体" w:eastAsia="楷体" w:hAnsi="楷体" w:hint="eastAsia"/>
          <w:b/>
          <w:color w:val="000000"/>
          <w:sz w:val="32"/>
          <w:szCs w:val="32"/>
        </w:rPr>
        <w:t>一、股本情况</w:t>
      </w:r>
    </w:p>
    <w:p w:rsidR="00D45989" w:rsidRPr="008D4BC3" w:rsidRDefault="00D45989" w:rsidP="00D45989">
      <w:pPr>
        <w:adjustRightInd w:val="0"/>
        <w:snapToGrid w:val="0"/>
        <w:spacing w:line="600" w:lineRule="exact"/>
        <w:ind w:firstLineChars="200" w:firstLine="640"/>
        <w:jc w:val="left"/>
        <w:rPr>
          <w:rFonts w:ascii="仿宋_GB2312" w:eastAsia="仿宋_GB2312"/>
          <w:b/>
          <w:color w:val="000000"/>
          <w:sz w:val="32"/>
          <w:szCs w:val="32"/>
        </w:rPr>
      </w:pPr>
      <w:r w:rsidRPr="008D4BC3">
        <w:rPr>
          <w:rFonts w:ascii="仿宋_GB2312" w:eastAsia="仿宋_GB2312" w:hint="eastAsia"/>
          <w:color w:val="000000"/>
          <w:sz w:val="32"/>
          <w:szCs w:val="32"/>
        </w:rPr>
        <w:t>报告期内，本行年末注册资本为23054.49万元。</w:t>
      </w:r>
    </w:p>
    <w:p w:rsidR="00D45989" w:rsidRPr="008D4BC3" w:rsidRDefault="00D45989" w:rsidP="00D45989">
      <w:pPr>
        <w:adjustRightInd w:val="0"/>
        <w:snapToGrid w:val="0"/>
        <w:spacing w:line="600" w:lineRule="exact"/>
        <w:ind w:firstLineChars="200" w:firstLine="640"/>
        <w:rPr>
          <w:rFonts w:ascii="楷体" w:eastAsia="楷体" w:hAnsi="楷体"/>
          <w:b/>
          <w:color w:val="000000"/>
          <w:sz w:val="32"/>
          <w:szCs w:val="32"/>
        </w:rPr>
      </w:pPr>
      <w:r w:rsidRPr="008D4BC3">
        <w:rPr>
          <w:rFonts w:ascii="楷体" w:eastAsia="楷体" w:hAnsi="楷体" w:hint="eastAsia"/>
          <w:b/>
          <w:color w:val="000000"/>
          <w:sz w:val="32"/>
          <w:szCs w:val="32"/>
        </w:rPr>
        <w:t>二、股权结构情况</w:t>
      </w:r>
    </w:p>
    <w:p w:rsidR="00D45989" w:rsidRPr="008D4BC3" w:rsidRDefault="00D45989" w:rsidP="00D45989">
      <w:pPr>
        <w:adjustRightInd w:val="0"/>
        <w:snapToGrid w:val="0"/>
        <w:spacing w:line="600" w:lineRule="exact"/>
        <w:ind w:firstLineChars="2000" w:firstLine="6000"/>
        <w:rPr>
          <w:rFonts w:ascii="仿宋_GB2312" w:eastAsia="仿宋_GB2312"/>
          <w:color w:val="000000"/>
          <w:sz w:val="30"/>
          <w:szCs w:val="30"/>
        </w:rPr>
      </w:pPr>
      <w:r w:rsidRPr="008D4BC3">
        <w:rPr>
          <w:rFonts w:ascii="仿宋_GB2312" w:eastAsia="仿宋_GB2312" w:hint="eastAsia"/>
          <w:color w:val="000000"/>
          <w:sz w:val="30"/>
          <w:szCs w:val="30"/>
        </w:rPr>
        <w:t>单位：万股， %</w:t>
      </w: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1029"/>
        <w:gridCol w:w="2057"/>
        <w:gridCol w:w="2351"/>
      </w:tblGrid>
      <w:tr w:rsidR="00D45989" w:rsidRPr="008D4BC3" w:rsidTr="00FA0A1C">
        <w:trPr>
          <w:trHeight w:hRule="exact" w:val="510"/>
        </w:trPr>
        <w:tc>
          <w:tcPr>
            <w:tcW w:w="3051" w:type="dxa"/>
            <w:vMerge w:val="restart"/>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b/>
                <w:kern w:val="0"/>
                <w:sz w:val="30"/>
                <w:szCs w:val="30"/>
              </w:rPr>
              <w:t>股份类型</w:t>
            </w:r>
          </w:p>
        </w:tc>
        <w:tc>
          <w:tcPr>
            <w:tcW w:w="5437" w:type="dxa"/>
            <w:gridSpan w:val="3"/>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b/>
                <w:kern w:val="0"/>
                <w:sz w:val="30"/>
                <w:szCs w:val="30"/>
              </w:rPr>
            </w:pPr>
            <w:r w:rsidRPr="008D4BC3">
              <w:rPr>
                <w:rFonts w:ascii="仿宋_GB2312" w:eastAsia="仿宋_GB2312" w:hAnsi="仿宋" w:cs="宋体" w:hint="eastAsia"/>
                <w:b/>
                <w:kern w:val="0"/>
                <w:sz w:val="30"/>
                <w:szCs w:val="30"/>
              </w:rPr>
              <w:t>2018 年末</w:t>
            </w:r>
          </w:p>
        </w:tc>
      </w:tr>
      <w:tr w:rsidR="00D45989" w:rsidRPr="008D4BC3" w:rsidTr="00FA0A1C">
        <w:trPr>
          <w:trHeight w:hRule="exact" w:val="510"/>
        </w:trPr>
        <w:tc>
          <w:tcPr>
            <w:tcW w:w="3051" w:type="dxa"/>
            <w:vMerge/>
            <w:shd w:val="clear" w:color="auto" w:fill="auto"/>
          </w:tcPr>
          <w:p w:rsidR="00D45989" w:rsidRPr="008D4BC3" w:rsidRDefault="00D45989" w:rsidP="00FA0A1C">
            <w:pPr>
              <w:widowControl/>
              <w:adjustRightInd w:val="0"/>
              <w:snapToGrid w:val="0"/>
              <w:spacing w:before="100" w:beforeAutospacing="1" w:after="100" w:afterAutospacing="1" w:line="600" w:lineRule="exact"/>
              <w:jc w:val="left"/>
              <w:rPr>
                <w:rFonts w:ascii="仿宋_GB2312" w:eastAsia="仿宋_GB2312" w:hAnsi="仿宋" w:cs="宋体"/>
                <w:kern w:val="0"/>
                <w:sz w:val="30"/>
                <w:szCs w:val="30"/>
              </w:rPr>
            </w:pPr>
          </w:p>
        </w:tc>
        <w:tc>
          <w:tcPr>
            <w:tcW w:w="1029"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户数</w:t>
            </w:r>
          </w:p>
        </w:tc>
        <w:tc>
          <w:tcPr>
            <w:tcW w:w="2057"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股数</w:t>
            </w:r>
          </w:p>
        </w:tc>
        <w:tc>
          <w:tcPr>
            <w:tcW w:w="2351"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持股比例</w:t>
            </w:r>
          </w:p>
        </w:tc>
      </w:tr>
      <w:tr w:rsidR="00D45989" w:rsidRPr="008D4BC3" w:rsidTr="00FA0A1C">
        <w:trPr>
          <w:trHeight w:hRule="exact" w:val="510"/>
        </w:trPr>
        <w:tc>
          <w:tcPr>
            <w:tcW w:w="3051"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left"/>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1.法人股</w:t>
            </w:r>
          </w:p>
        </w:tc>
        <w:tc>
          <w:tcPr>
            <w:tcW w:w="1029"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20</w:t>
            </w:r>
          </w:p>
        </w:tc>
        <w:tc>
          <w:tcPr>
            <w:tcW w:w="2057"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9015.89</w:t>
            </w:r>
          </w:p>
        </w:tc>
        <w:tc>
          <w:tcPr>
            <w:tcW w:w="2351"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39.11</w:t>
            </w:r>
          </w:p>
        </w:tc>
      </w:tr>
      <w:tr w:rsidR="00D45989" w:rsidRPr="008D4BC3" w:rsidTr="00FA0A1C">
        <w:trPr>
          <w:trHeight w:hRule="exact" w:val="510"/>
        </w:trPr>
        <w:tc>
          <w:tcPr>
            <w:tcW w:w="3051"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left"/>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2.自然人股</w:t>
            </w:r>
          </w:p>
        </w:tc>
        <w:tc>
          <w:tcPr>
            <w:tcW w:w="1029"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641</w:t>
            </w:r>
          </w:p>
        </w:tc>
        <w:tc>
          <w:tcPr>
            <w:tcW w:w="2057"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14038.60</w:t>
            </w:r>
          </w:p>
        </w:tc>
        <w:tc>
          <w:tcPr>
            <w:tcW w:w="2351"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60.89</w:t>
            </w:r>
          </w:p>
        </w:tc>
      </w:tr>
      <w:tr w:rsidR="00D45989" w:rsidRPr="008D4BC3" w:rsidTr="00FA0A1C">
        <w:trPr>
          <w:trHeight w:hRule="exact" w:val="510"/>
        </w:trPr>
        <w:tc>
          <w:tcPr>
            <w:tcW w:w="3051"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left"/>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其中：内部员工股</w:t>
            </w:r>
          </w:p>
        </w:tc>
        <w:tc>
          <w:tcPr>
            <w:tcW w:w="1029"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250</w:t>
            </w:r>
          </w:p>
        </w:tc>
        <w:tc>
          <w:tcPr>
            <w:tcW w:w="2057"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4346.77</w:t>
            </w:r>
          </w:p>
        </w:tc>
        <w:tc>
          <w:tcPr>
            <w:tcW w:w="2351"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18.85</w:t>
            </w:r>
          </w:p>
        </w:tc>
      </w:tr>
      <w:tr w:rsidR="00D45989" w:rsidRPr="008D4BC3" w:rsidTr="00FA0A1C">
        <w:trPr>
          <w:trHeight w:hRule="exact" w:val="510"/>
        </w:trPr>
        <w:tc>
          <w:tcPr>
            <w:tcW w:w="3051"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left"/>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总股数</w:t>
            </w:r>
          </w:p>
        </w:tc>
        <w:tc>
          <w:tcPr>
            <w:tcW w:w="1029" w:type="dxa"/>
            <w:shd w:val="clear" w:color="auto" w:fill="auto"/>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661</w:t>
            </w:r>
          </w:p>
        </w:tc>
        <w:tc>
          <w:tcPr>
            <w:tcW w:w="2057"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23054.49</w:t>
            </w:r>
          </w:p>
        </w:tc>
        <w:tc>
          <w:tcPr>
            <w:tcW w:w="2351" w:type="dxa"/>
          </w:tcPr>
          <w:p w:rsidR="00D45989" w:rsidRPr="008D4BC3" w:rsidRDefault="00D45989" w:rsidP="00FA0A1C">
            <w:pPr>
              <w:widowControl/>
              <w:adjustRightInd w:val="0"/>
              <w:snapToGrid w:val="0"/>
              <w:spacing w:before="100" w:beforeAutospacing="1" w:after="100" w:afterAutospacing="1" w:line="600" w:lineRule="exact"/>
              <w:jc w:val="center"/>
              <w:rPr>
                <w:rFonts w:ascii="仿宋_GB2312" w:eastAsia="仿宋_GB2312" w:hAnsi="仿宋" w:cs="宋体"/>
                <w:kern w:val="0"/>
                <w:sz w:val="30"/>
                <w:szCs w:val="30"/>
              </w:rPr>
            </w:pPr>
            <w:r w:rsidRPr="008D4BC3">
              <w:rPr>
                <w:rFonts w:ascii="仿宋_GB2312" w:eastAsia="仿宋_GB2312" w:hAnsi="仿宋" w:cs="宋体" w:hint="eastAsia"/>
                <w:kern w:val="0"/>
                <w:sz w:val="30"/>
                <w:szCs w:val="30"/>
              </w:rPr>
              <w:t>100</w:t>
            </w:r>
          </w:p>
        </w:tc>
      </w:tr>
    </w:tbl>
    <w:p w:rsidR="00D45989" w:rsidRPr="00006422" w:rsidRDefault="00D45989" w:rsidP="00D45989">
      <w:pPr>
        <w:adjustRightInd w:val="0"/>
        <w:snapToGrid w:val="0"/>
        <w:spacing w:line="600" w:lineRule="exact"/>
        <w:ind w:firstLineChars="200" w:firstLine="640"/>
        <w:rPr>
          <w:rFonts w:ascii="仿宋_GB2312" w:eastAsia="仿宋_GB2312"/>
          <w:color w:val="000000"/>
          <w:sz w:val="32"/>
          <w:szCs w:val="32"/>
        </w:rPr>
      </w:pPr>
      <w:r w:rsidRPr="008D4BC3">
        <w:rPr>
          <w:rFonts w:ascii="仿宋_GB2312" w:eastAsia="仿宋_GB2312" w:hint="eastAsia"/>
          <w:color w:val="000000"/>
          <w:sz w:val="32"/>
          <w:szCs w:val="32"/>
        </w:rPr>
        <w:t>注：本行股份均为非上市流通股份。</w:t>
      </w:r>
    </w:p>
    <w:p w:rsidR="00D45989" w:rsidRPr="0003013B" w:rsidRDefault="00D45989" w:rsidP="00D45989">
      <w:pPr>
        <w:adjustRightInd w:val="0"/>
        <w:snapToGrid w:val="0"/>
        <w:spacing w:line="600" w:lineRule="exact"/>
        <w:ind w:leftChars="228" w:left="479" w:firstLineChars="46" w:firstLine="147"/>
        <w:jc w:val="left"/>
        <w:rPr>
          <w:rFonts w:ascii="楷体" w:eastAsia="楷体" w:hAnsi="楷体"/>
          <w:b/>
          <w:color w:val="000000"/>
          <w:sz w:val="32"/>
          <w:szCs w:val="32"/>
        </w:rPr>
      </w:pPr>
      <w:r w:rsidRPr="0003013B">
        <w:rPr>
          <w:rFonts w:ascii="楷体" w:eastAsia="楷体" w:hAnsi="楷体" w:hint="eastAsia"/>
          <w:b/>
          <w:color w:val="000000"/>
          <w:sz w:val="32"/>
          <w:szCs w:val="32"/>
        </w:rPr>
        <w:lastRenderedPageBreak/>
        <w:t>三、股东情况</w:t>
      </w:r>
    </w:p>
    <w:p w:rsidR="00D45989" w:rsidRPr="0003013B" w:rsidRDefault="00D45989" w:rsidP="00D45989">
      <w:pPr>
        <w:adjustRightInd w:val="0"/>
        <w:snapToGrid w:val="0"/>
        <w:spacing w:line="600" w:lineRule="exact"/>
        <w:ind w:leftChars="228" w:left="479" w:firstLineChars="46" w:firstLine="148"/>
        <w:jc w:val="left"/>
        <w:rPr>
          <w:rFonts w:ascii="仿宋_GB2312" w:eastAsia="仿宋_GB2312"/>
          <w:b/>
          <w:color w:val="000000"/>
          <w:sz w:val="32"/>
          <w:szCs w:val="32"/>
        </w:rPr>
      </w:pPr>
      <w:r w:rsidRPr="0003013B">
        <w:rPr>
          <w:rFonts w:ascii="仿宋_GB2312" w:eastAsia="仿宋_GB2312" w:hint="eastAsia"/>
          <w:b/>
          <w:color w:val="000000"/>
          <w:sz w:val="32"/>
          <w:szCs w:val="32"/>
        </w:rPr>
        <w:t>（一）前十大法人股东情况</w:t>
      </w:r>
    </w:p>
    <w:p w:rsidR="00D45989" w:rsidRPr="0003013B" w:rsidRDefault="00D45989" w:rsidP="00D45989">
      <w:pPr>
        <w:adjustRightInd w:val="0"/>
        <w:snapToGrid w:val="0"/>
        <w:spacing w:line="600" w:lineRule="exact"/>
        <w:ind w:firstLineChars="250" w:firstLine="800"/>
        <w:jc w:val="left"/>
        <w:rPr>
          <w:rFonts w:ascii="仿宋_GB2312" w:eastAsia="仿宋_GB2312"/>
          <w:color w:val="000000"/>
          <w:sz w:val="32"/>
          <w:szCs w:val="32"/>
        </w:rPr>
      </w:pPr>
      <w:r w:rsidRPr="0003013B">
        <w:rPr>
          <w:rFonts w:ascii="仿宋_GB2312" w:eastAsia="仿宋_GB2312" w:hint="eastAsia"/>
          <w:color w:val="000000"/>
          <w:sz w:val="32"/>
          <w:szCs w:val="32"/>
        </w:rPr>
        <w:t>最大十名法人股东持股</w:t>
      </w:r>
      <w:r>
        <w:rPr>
          <w:rFonts w:ascii="仿宋_GB2312" w:eastAsia="仿宋_GB2312" w:hint="eastAsia"/>
          <w:color w:val="000000"/>
          <w:sz w:val="32"/>
          <w:szCs w:val="32"/>
        </w:rPr>
        <w:t>7993.24</w:t>
      </w:r>
      <w:r w:rsidRPr="0003013B">
        <w:rPr>
          <w:rFonts w:ascii="仿宋_GB2312" w:eastAsia="仿宋_GB2312" w:hint="eastAsia"/>
          <w:color w:val="000000"/>
          <w:sz w:val="32"/>
          <w:szCs w:val="32"/>
        </w:rPr>
        <w:t>万股，占总股本</w:t>
      </w:r>
      <w:r>
        <w:rPr>
          <w:rFonts w:ascii="仿宋_GB2312" w:eastAsia="仿宋_GB2312" w:hint="eastAsia"/>
          <w:color w:val="000000"/>
          <w:sz w:val="32"/>
          <w:szCs w:val="32"/>
        </w:rPr>
        <w:t>34.67</w:t>
      </w:r>
      <w:r w:rsidRPr="0003013B">
        <w:rPr>
          <w:rFonts w:ascii="仿宋_GB2312" w:eastAsia="仿宋_GB2312" w:hint="eastAsia"/>
          <w:color w:val="000000"/>
          <w:sz w:val="32"/>
          <w:szCs w:val="32"/>
        </w:rPr>
        <w:t>%。</w:t>
      </w:r>
    </w:p>
    <w:tbl>
      <w:tblPr>
        <w:tblW w:w="9520" w:type="dxa"/>
        <w:tblInd w:w="93" w:type="dxa"/>
        <w:tblLayout w:type="fixed"/>
        <w:tblLook w:val="04A0" w:firstRow="1" w:lastRow="0" w:firstColumn="1" w:lastColumn="0" w:noHBand="0" w:noVBand="1"/>
      </w:tblPr>
      <w:tblGrid>
        <w:gridCol w:w="2891"/>
        <w:gridCol w:w="4212"/>
        <w:gridCol w:w="1417"/>
        <w:gridCol w:w="1000"/>
      </w:tblGrid>
      <w:tr w:rsidR="00D45989" w:rsidRPr="0003013B" w:rsidTr="00FA0A1C">
        <w:trPr>
          <w:trHeight w:val="585"/>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b/>
                <w:color w:val="000000"/>
                <w:kern w:val="0"/>
                <w:sz w:val="22"/>
                <w:szCs w:val="22"/>
              </w:rPr>
            </w:pPr>
            <w:r w:rsidRPr="0003013B">
              <w:rPr>
                <w:rFonts w:ascii="宋体" w:hAnsi="宋体" w:cs="宋体" w:hint="eastAsia"/>
                <w:b/>
                <w:color w:val="000000"/>
                <w:kern w:val="0"/>
                <w:sz w:val="22"/>
                <w:szCs w:val="22"/>
              </w:rPr>
              <w:t>名称</w:t>
            </w:r>
          </w:p>
        </w:tc>
        <w:tc>
          <w:tcPr>
            <w:tcW w:w="4212"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b/>
                <w:color w:val="000000"/>
                <w:kern w:val="0"/>
                <w:sz w:val="22"/>
                <w:szCs w:val="22"/>
              </w:rPr>
            </w:pPr>
            <w:r w:rsidRPr="0003013B">
              <w:rPr>
                <w:rFonts w:ascii="宋体" w:hAnsi="宋体" w:cs="宋体" w:hint="eastAsia"/>
                <w:b/>
                <w:color w:val="000000"/>
                <w:kern w:val="0"/>
                <w:sz w:val="22"/>
                <w:szCs w:val="22"/>
              </w:rPr>
              <w:t>住所</w:t>
            </w:r>
          </w:p>
        </w:tc>
        <w:tc>
          <w:tcPr>
            <w:tcW w:w="1417"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b/>
                <w:color w:val="000000"/>
                <w:kern w:val="0"/>
                <w:sz w:val="18"/>
                <w:szCs w:val="18"/>
              </w:rPr>
            </w:pPr>
            <w:r w:rsidRPr="0003013B">
              <w:rPr>
                <w:rFonts w:ascii="宋体" w:hAnsi="宋体" w:cs="宋体" w:hint="eastAsia"/>
                <w:b/>
                <w:color w:val="000000"/>
                <w:kern w:val="0"/>
                <w:sz w:val="18"/>
                <w:szCs w:val="18"/>
              </w:rPr>
              <w:t>持股数（万股）</w:t>
            </w:r>
          </w:p>
        </w:tc>
        <w:tc>
          <w:tcPr>
            <w:tcW w:w="1000"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b/>
                <w:color w:val="000000"/>
                <w:kern w:val="0"/>
                <w:sz w:val="22"/>
                <w:szCs w:val="22"/>
              </w:rPr>
            </w:pPr>
            <w:r w:rsidRPr="0003013B">
              <w:rPr>
                <w:rFonts w:ascii="宋体" w:hAnsi="宋体" w:cs="宋体" w:hint="eastAsia"/>
                <w:b/>
                <w:color w:val="000000"/>
                <w:kern w:val="0"/>
                <w:sz w:val="22"/>
                <w:szCs w:val="22"/>
              </w:rPr>
              <w:t>占比(%)</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吉安市金岸房地产开发有限公司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吉安市吉州区井冈山大道</w:t>
            </w:r>
            <w:r w:rsidRPr="0003013B">
              <w:rPr>
                <w:rFonts w:hint="eastAsia"/>
                <w:color w:val="000000"/>
                <w:sz w:val="22"/>
                <w:szCs w:val="22"/>
              </w:rPr>
              <w:t>118</w:t>
            </w:r>
            <w:r w:rsidRPr="0003013B">
              <w:rPr>
                <w:rFonts w:hint="eastAsia"/>
                <w:color w:val="000000"/>
                <w:sz w:val="22"/>
                <w:szCs w:val="22"/>
              </w:rPr>
              <w:t>号</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1109.66</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4.81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深圳市光宝华实业有限公司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深圳市福田区福民路北侧中央花园</w:t>
            </w:r>
            <w:proofErr w:type="gramStart"/>
            <w:r w:rsidRPr="0003013B">
              <w:rPr>
                <w:rFonts w:hint="eastAsia"/>
                <w:color w:val="000000"/>
                <w:sz w:val="22"/>
                <w:szCs w:val="22"/>
              </w:rPr>
              <w:t>安定阁</w:t>
            </w:r>
            <w:proofErr w:type="gramEnd"/>
            <w:r w:rsidRPr="0003013B">
              <w:rPr>
                <w:rFonts w:hint="eastAsia"/>
                <w:color w:val="000000"/>
                <w:sz w:val="22"/>
                <w:szCs w:val="22"/>
              </w:rPr>
              <w:t>1202</w:t>
            </w:r>
            <w:r w:rsidRPr="0003013B">
              <w:rPr>
                <w:rFonts w:hint="eastAsia"/>
                <w:color w:val="000000"/>
                <w:sz w:val="22"/>
                <w:szCs w:val="22"/>
              </w:rPr>
              <w:t>室（法人代表应清华）</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1109.66</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4.81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深圳市奥海科技有限公司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深圳市宝安区西乡街道固</w:t>
            </w:r>
            <w:proofErr w:type="gramStart"/>
            <w:r w:rsidRPr="0003013B">
              <w:rPr>
                <w:rFonts w:hint="eastAsia"/>
                <w:color w:val="000000"/>
                <w:sz w:val="22"/>
                <w:szCs w:val="22"/>
              </w:rPr>
              <w:t>戍</w:t>
            </w:r>
            <w:proofErr w:type="gramEnd"/>
            <w:r w:rsidRPr="0003013B">
              <w:rPr>
                <w:rFonts w:hint="eastAsia"/>
                <w:color w:val="000000"/>
                <w:sz w:val="22"/>
                <w:szCs w:val="22"/>
              </w:rPr>
              <w:t>社区下围园工业区</w:t>
            </w:r>
            <w:r w:rsidRPr="0003013B">
              <w:rPr>
                <w:rFonts w:hint="eastAsia"/>
                <w:color w:val="000000"/>
                <w:sz w:val="22"/>
                <w:szCs w:val="22"/>
              </w:rPr>
              <w:t>9</w:t>
            </w:r>
            <w:r w:rsidRPr="0003013B">
              <w:rPr>
                <w:rFonts w:hint="eastAsia"/>
                <w:color w:val="000000"/>
                <w:sz w:val="22"/>
                <w:szCs w:val="22"/>
              </w:rPr>
              <w:t>号</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1109.66</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4.81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遂川县新大新商贸有限责任公司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江西省遂川县泉江镇慈云路</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992.93</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4.31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吉安市伟业房地产开发有限公司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遂川县泉江镇东路大道</w:t>
            </w:r>
            <w:r w:rsidRPr="0003013B">
              <w:rPr>
                <w:rFonts w:hint="eastAsia"/>
                <w:color w:val="000000"/>
                <w:sz w:val="22"/>
                <w:szCs w:val="22"/>
              </w:rPr>
              <w:t>61</w:t>
            </w:r>
            <w:r w:rsidRPr="0003013B">
              <w:rPr>
                <w:rFonts w:hint="eastAsia"/>
                <w:color w:val="000000"/>
                <w:sz w:val="22"/>
                <w:szCs w:val="22"/>
              </w:rPr>
              <w:t>号（法人代表叶诗伟）</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898.12</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3.90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江西中南投资实业有限公司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江西省吉安市万安县芙蓉镇东门路</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792.61</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3.44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吉安亿通实业有限公司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江西省吉安市青原区文天</w:t>
            </w:r>
            <w:proofErr w:type="gramStart"/>
            <w:r w:rsidRPr="0003013B">
              <w:rPr>
                <w:rFonts w:hint="eastAsia"/>
                <w:color w:val="000000"/>
                <w:sz w:val="22"/>
                <w:szCs w:val="22"/>
              </w:rPr>
              <w:t>祥</w:t>
            </w:r>
            <w:proofErr w:type="gramEnd"/>
            <w:r w:rsidRPr="0003013B">
              <w:rPr>
                <w:rFonts w:hint="eastAsia"/>
                <w:color w:val="000000"/>
                <w:sz w:val="22"/>
                <w:szCs w:val="22"/>
              </w:rPr>
              <w:t>大道</w:t>
            </w:r>
            <w:r w:rsidRPr="0003013B">
              <w:rPr>
                <w:rFonts w:hint="eastAsia"/>
                <w:color w:val="000000"/>
                <w:sz w:val="22"/>
                <w:szCs w:val="22"/>
              </w:rPr>
              <w:t>8</w:t>
            </w:r>
            <w:r w:rsidRPr="0003013B">
              <w:rPr>
                <w:rFonts w:hint="eastAsia"/>
                <w:color w:val="000000"/>
                <w:sz w:val="22"/>
                <w:szCs w:val="22"/>
              </w:rPr>
              <w:t>号（法人代表尹小勇（曾春玉）</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792.61</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3.44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苏州市明珠新建材有限公司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江苏省苏州市高新区横塘金屋装饰城（法人代表罗晓真）</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475.56</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2.06 </w:t>
            </w:r>
          </w:p>
        </w:tc>
      </w:tr>
      <w:tr w:rsidR="00D45989" w:rsidRPr="0003013B" w:rsidTr="00FA0A1C">
        <w:trPr>
          <w:trHeight w:val="754"/>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江西晨阳房地产开发有限公司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遂川县泉江镇龙川大道</w:t>
            </w:r>
            <w:r w:rsidRPr="0003013B">
              <w:rPr>
                <w:rFonts w:hint="eastAsia"/>
                <w:color w:val="000000"/>
                <w:sz w:val="22"/>
                <w:szCs w:val="22"/>
              </w:rPr>
              <w:t>(</w:t>
            </w:r>
            <w:r w:rsidRPr="0003013B">
              <w:rPr>
                <w:rFonts w:hint="eastAsia"/>
                <w:color w:val="000000"/>
                <w:sz w:val="22"/>
                <w:szCs w:val="22"/>
              </w:rPr>
              <w:t>谢建华房</w:t>
            </w:r>
            <w:r w:rsidRPr="0003013B">
              <w:rPr>
                <w:rFonts w:hint="eastAsia"/>
                <w:color w:val="000000"/>
                <w:sz w:val="22"/>
                <w:szCs w:val="22"/>
              </w:rPr>
              <w:t>)</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474.65</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2.06 </w:t>
            </w:r>
          </w:p>
        </w:tc>
      </w:tr>
      <w:tr w:rsidR="00D45989" w:rsidRPr="0003013B" w:rsidTr="00FA0A1C">
        <w:trPr>
          <w:trHeight w:val="439"/>
        </w:trPr>
        <w:tc>
          <w:tcPr>
            <w:tcW w:w="2891"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遂川县新海化工有限责任公司</w:t>
            </w:r>
          </w:p>
        </w:tc>
        <w:tc>
          <w:tcPr>
            <w:tcW w:w="4212"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江西省遂川县泉江工业区（法人代表肖奕萱）</w:t>
            </w:r>
          </w:p>
        </w:tc>
        <w:tc>
          <w:tcPr>
            <w:tcW w:w="141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hint="eastAsia"/>
                <w:color w:val="000000"/>
                <w:sz w:val="22"/>
                <w:szCs w:val="22"/>
              </w:rPr>
              <w:t>237.78</w:t>
            </w:r>
          </w:p>
        </w:tc>
        <w:tc>
          <w:tcPr>
            <w:tcW w:w="1000"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 xml:space="preserve">   1.03</w:t>
            </w:r>
          </w:p>
        </w:tc>
      </w:tr>
    </w:tbl>
    <w:p w:rsidR="00D45989" w:rsidRPr="0003013B" w:rsidRDefault="00D45989" w:rsidP="00D45989">
      <w:pPr>
        <w:adjustRightInd w:val="0"/>
        <w:snapToGrid w:val="0"/>
        <w:spacing w:line="600" w:lineRule="exact"/>
        <w:ind w:leftChars="228" w:left="479" w:firstLineChars="46" w:firstLine="148"/>
        <w:jc w:val="left"/>
        <w:rPr>
          <w:rFonts w:ascii="仿宋_GB2312" w:eastAsia="仿宋_GB2312"/>
          <w:b/>
          <w:color w:val="000000"/>
          <w:sz w:val="32"/>
          <w:szCs w:val="32"/>
        </w:rPr>
      </w:pPr>
      <w:r w:rsidRPr="0003013B">
        <w:rPr>
          <w:rFonts w:ascii="仿宋_GB2312" w:eastAsia="仿宋_GB2312" w:hint="eastAsia"/>
          <w:b/>
          <w:color w:val="000000"/>
          <w:sz w:val="32"/>
          <w:szCs w:val="32"/>
        </w:rPr>
        <w:t>（二）前十大自然</w:t>
      </w:r>
      <w:proofErr w:type="gramStart"/>
      <w:r w:rsidRPr="0003013B">
        <w:rPr>
          <w:rFonts w:ascii="仿宋_GB2312" w:eastAsia="仿宋_GB2312" w:hint="eastAsia"/>
          <w:b/>
          <w:color w:val="000000"/>
          <w:sz w:val="32"/>
          <w:szCs w:val="32"/>
        </w:rPr>
        <w:t>人股东</w:t>
      </w:r>
      <w:proofErr w:type="gramEnd"/>
      <w:r w:rsidRPr="0003013B">
        <w:rPr>
          <w:rFonts w:ascii="仿宋_GB2312" w:eastAsia="仿宋_GB2312" w:hint="eastAsia"/>
          <w:b/>
          <w:color w:val="000000"/>
          <w:sz w:val="32"/>
          <w:szCs w:val="32"/>
        </w:rPr>
        <w:t>情况</w:t>
      </w:r>
    </w:p>
    <w:p w:rsidR="00D45989" w:rsidRPr="0003013B" w:rsidRDefault="00D45989" w:rsidP="00D45989">
      <w:pPr>
        <w:adjustRightInd w:val="0"/>
        <w:snapToGrid w:val="0"/>
        <w:spacing w:line="600" w:lineRule="exact"/>
        <w:ind w:firstLineChars="250" w:firstLine="800"/>
        <w:jc w:val="left"/>
        <w:rPr>
          <w:rFonts w:ascii="仿宋_GB2312" w:eastAsia="仿宋_GB2312"/>
          <w:color w:val="000000"/>
          <w:sz w:val="32"/>
          <w:szCs w:val="32"/>
        </w:rPr>
      </w:pPr>
      <w:r w:rsidRPr="0003013B">
        <w:rPr>
          <w:rFonts w:ascii="仿宋_GB2312" w:eastAsia="仿宋_GB2312" w:hint="eastAsia"/>
          <w:color w:val="000000"/>
          <w:sz w:val="32"/>
          <w:szCs w:val="32"/>
        </w:rPr>
        <w:t>最大十名自然人持股</w:t>
      </w:r>
      <w:r>
        <w:rPr>
          <w:rFonts w:ascii="仿宋_GB2312" w:eastAsia="仿宋_GB2312" w:hint="eastAsia"/>
          <w:color w:val="000000"/>
          <w:sz w:val="32"/>
          <w:szCs w:val="32"/>
        </w:rPr>
        <w:t>3203</w:t>
      </w:r>
      <w:r w:rsidRPr="0003013B">
        <w:rPr>
          <w:rFonts w:ascii="仿宋_GB2312" w:eastAsia="仿宋_GB2312" w:hint="eastAsia"/>
          <w:color w:val="000000"/>
          <w:sz w:val="32"/>
          <w:szCs w:val="32"/>
        </w:rPr>
        <w:t>万股，占总股本的13.89%。</w:t>
      </w:r>
    </w:p>
    <w:tbl>
      <w:tblPr>
        <w:tblW w:w="9280" w:type="dxa"/>
        <w:tblInd w:w="93" w:type="dxa"/>
        <w:tblLayout w:type="fixed"/>
        <w:tblLook w:val="04A0" w:firstRow="1" w:lastRow="0" w:firstColumn="1" w:lastColumn="0" w:noHBand="0" w:noVBand="1"/>
      </w:tblPr>
      <w:tblGrid>
        <w:gridCol w:w="1500"/>
        <w:gridCol w:w="5550"/>
        <w:gridCol w:w="1267"/>
        <w:gridCol w:w="963"/>
      </w:tblGrid>
      <w:tr w:rsidR="00D45989" w:rsidRPr="0003013B" w:rsidTr="00FA0A1C">
        <w:trPr>
          <w:trHeight w:val="57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color w:val="000000"/>
                <w:kern w:val="0"/>
                <w:sz w:val="22"/>
                <w:szCs w:val="22"/>
              </w:rPr>
            </w:pPr>
            <w:r w:rsidRPr="0003013B">
              <w:rPr>
                <w:rFonts w:ascii="宋体" w:hAnsi="宋体" w:cs="宋体" w:hint="eastAsia"/>
                <w:color w:val="000000"/>
                <w:kern w:val="0"/>
                <w:sz w:val="22"/>
                <w:szCs w:val="22"/>
              </w:rPr>
              <w:t>名称</w:t>
            </w:r>
          </w:p>
        </w:tc>
        <w:tc>
          <w:tcPr>
            <w:tcW w:w="5550"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left"/>
              <w:rPr>
                <w:rFonts w:ascii="宋体" w:hAnsi="宋体" w:cs="宋体"/>
                <w:color w:val="000000"/>
                <w:kern w:val="0"/>
                <w:sz w:val="22"/>
                <w:szCs w:val="22"/>
              </w:rPr>
            </w:pPr>
            <w:r w:rsidRPr="0003013B">
              <w:rPr>
                <w:rFonts w:ascii="宋体" w:hAnsi="宋体" w:cs="宋体" w:hint="eastAsia"/>
                <w:color w:val="000000"/>
                <w:kern w:val="0"/>
                <w:sz w:val="22"/>
                <w:szCs w:val="22"/>
              </w:rPr>
              <w:t>住所</w:t>
            </w:r>
          </w:p>
        </w:tc>
        <w:tc>
          <w:tcPr>
            <w:tcW w:w="1267"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color w:val="000000"/>
                <w:kern w:val="0"/>
                <w:sz w:val="22"/>
                <w:szCs w:val="22"/>
              </w:rPr>
            </w:pPr>
            <w:r w:rsidRPr="0003013B">
              <w:rPr>
                <w:rFonts w:ascii="宋体" w:hAnsi="宋体" w:cs="宋体" w:hint="eastAsia"/>
                <w:color w:val="000000"/>
                <w:kern w:val="0"/>
                <w:sz w:val="16"/>
                <w:szCs w:val="16"/>
              </w:rPr>
              <w:t>持股数（万股</w:t>
            </w:r>
            <w:r w:rsidRPr="0003013B">
              <w:rPr>
                <w:rFonts w:ascii="宋体" w:hAnsi="宋体" w:cs="宋体" w:hint="eastAsia"/>
                <w:color w:val="000000"/>
                <w:kern w:val="0"/>
                <w:sz w:val="22"/>
                <w:szCs w:val="22"/>
              </w:rPr>
              <w:t>）</w:t>
            </w:r>
          </w:p>
        </w:tc>
        <w:tc>
          <w:tcPr>
            <w:tcW w:w="963" w:type="dxa"/>
            <w:tcBorders>
              <w:top w:val="single" w:sz="4" w:space="0" w:color="auto"/>
              <w:left w:val="nil"/>
              <w:bottom w:val="single" w:sz="4" w:space="0" w:color="auto"/>
              <w:right w:val="single" w:sz="4" w:space="0" w:color="auto"/>
            </w:tcBorders>
            <w:shd w:val="clear" w:color="auto" w:fill="auto"/>
            <w:vAlign w:val="center"/>
          </w:tcPr>
          <w:p w:rsidR="00D45989" w:rsidRPr="0003013B" w:rsidRDefault="00D45989" w:rsidP="00FA0A1C">
            <w:pPr>
              <w:widowControl/>
              <w:adjustRightInd w:val="0"/>
              <w:snapToGrid w:val="0"/>
              <w:spacing w:line="600" w:lineRule="exact"/>
              <w:jc w:val="center"/>
              <w:rPr>
                <w:rFonts w:ascii="宋体" w:hAnsi="宋体" w:cs="宋体"/>
                <w:color w:val="000000"/>
                <w:kern w:val="0"/>
                <w:sz w:val="20"/>
                <w:szCs w:val="20"/>
              </w:rPr>
            </w:pPr>
            <w:r w:rsidRPr="0003013B">
              <w:rPr>
                <w:rFonts w:ascii="宋体" w:hAnsi="宋体" w:cs="宋体" w:hint="eastAsia"/>
                <w:color w:val="000000"/>
                <w:kern w:val="0"/>
                <w:sz w:val="20"/>
                <w:szCs w:val="20"/>
              </w:rPr>
              <w:t>占比(%)</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郭启云</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遂川县泉江镇伟业公园路小区</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443.86</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1.93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张梅生</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浙江省宁波市江北区</w:t>
            </w:r>
            <w:proofErr w:type="gramStart"/>
            <w:r w:rsidRPr="0003013B">
              <w:rPr>
                <w:rFonts w:hint="eastAsia"/>
                <w:color w:val="000000"/>
                <w:sz w:val="22"/>
                <w:szCs w:val="22"/>
              </w:rPr>
              <w:t>北岸琴森小区</w:t>
            </w:r>
            <w:proofErr w:type="gramEnd"/>
            <w:r w:rsidRPr="0003013B">
              <w:rPr>
                <w:rFonts w:hint="eastAsia"/>
                <w:color w:val="000000"/>
                <w:sz w:val="22"/>
                <w:szCs w:val="22"/>
              </w:rPr>
              <w:t>3</w:t>
            </w:r>
            <w:r w:rsidRPr="0003013B">
              <w:rPr>
                <w:rFonts w:hint="eastAsia"/>
                <w:color w:val="000000"/>
                <w:sz w:val="22"/>
                <w:szCs w:val="22"/>
              </w:rPr>
              <w:t>栋</w:t>
            </w:r>
            <w:r w:rsidRPr="0003013B">
              <w:rPr>
                <w:rFonts w:hint="eastAsia"/>
                <w:color w:val="000000"/>
                <w:sz w:val="22"/>
                <w:szCs w:val="22"/>
              </w:rPr>
              <w:t>36</w:t>
            </w:r>
            <w:r w:rsidRPr="0003013B">
              <w:rPr>
                <w:rFonts w:hint="eastAsia"/>
                <w:color w:val="000000"/>
                <w:sz w:val="22"/>
                <w:szCs w:val="22"/>
              </w:rPr>
              <w:t>单元</w:t>
            </w:r>
            <w:r w:rsidRPr="0003013B">
              <w:rPr>
                <w:rFonts w:hint="eastAsia"/>
                <w:color w:val="000000"/>
                <w:sz w:val="22"/>
                <w:szCs w:val="22"/>
              </w:rPr>
              <w:t>407</w:t>
            </w:r>
            <w:r w:rsidRPr="0003013B">
              <w:rPr>
                <w:rFonts w:hint="eastAsia"/>
                <w:color w:val="000000"/>
                <w:sz w:val="22"/>
                <w:szCs w:val="22"/>
              </w:rPr>
              <w:t>室</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443.86</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1.93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王</w:t>
            </w:r>
            <w:proofErr w:type="gramStart"/>
            <w:r w:rsidRPr="0003013B">
              <w:rPr>
                <w:rFonts w:hint="eastAsia"/>
                <w:color w:val="000000"/>
                <w:sz w:val="22"/>
                <w:szCs w:val="22"/>
              </w:rPr>
              <w:t>世</w:t>
            </w:r>
            <w:proofErr w:type="gramEnd"/>
            <w:r w:rsidRPr="0003013B">
              <w:rPr>
                <w:rFonts w:hint="eastAsia"/>
                <w:color w:val="000000"/>
                <w:sz w:val="22"/>
                <w:szCs w:val="22"/>
              </w:rPr>
              <w:t>和</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江西省南昌市</w:t>
            </w:r>
            <w:proofErr w:type="gramStart"/>
            <w:r w:rsidRPr="0003013B">
              <w:rPr>
                <w:rFonts w:hint="eastAsia"/>
                <w:color w:val="000000"/>
                <w:sz w:val="22"/>
                <w:szCs w:val="22"/>
              </w:rPr>
              <w:t>恒茂城市</w:t>
            </w:r>
            <w:proofErr w:type="gramEnd"/>
            <w:r w:rsidRPr="0003013B">
              <w:rPr>
                <w:rFonts w:hint="eastAsia"/>
                <w:color w:val="000000"/>
                <w:sz w:val="22"/>
                <w:szCs w:val="22"/>
              </w:rPr>
              <w:t>花园</w:t>
            </w:r>
            <w:r w:rsidRPr="0003013B">
              <w:rPr>
                <w:rFonts w:hint="eastAsia"/>
                <w:color w:val="000000"/>
                <w:sz w:val="22"/>
                <w:szCs w:val="22"/>
              </w:rPr>
              <w:t>4-801</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443.86</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1.93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张南生</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浙江省宁波市镇海区庄</w:t>
            </w:r>
            <w:proofErr w:type="gramStart"/>
            <w:r w:rsidRPr="0003013B">
              <w:rPr>
                <w:rFonts w:hint="eastAsia"/>
                <w:color w:val="000000"/>
                <w:sz w:val="22"/>
                <w:szCs w:val="22"/>
              </w:rPr>
              <w:t>市兴庄路</w:t>
            </w:r>
            <w:proofErr w:type="gramEnd"/>
            <w:r w:rsidRPr="0003013B">
              <w:rPr>
                <w:rFonts w:hint="eastAsia"/>
                <w:color w:val="000000"/>
                <w:sz w:val="22"/>
                <w:szCs w:val="22"/>
              </w:rPr>
              <w:t>7</w:t>
            </w:r>
            <w:r w:rsidRPr="0003013B">
              <w:rPr>
                <w:rFonts w:hint="eastAsia"/>
                <w:color w:val="000000"/>
                <w:sz w:val="22"/>
                <w:szCs w:val="22"/>
              </w:rPr>
              <w:t>幢</w:t>
            </w:r>
            <w:r w:rsidRPr="0003013B">
              <w:rPr>
                <w:rFonts w:hint="eastAsia"/>
                <w:color w:val="000000"/>
                <w:sz w:val="22"/>
                <w:szCs w:val="22"/>
              </w:rPr>
              <w:t>308</w:t>
            </w:r>
            <w:r w:rsidRPr="0003013B">
              <w:rPr>
                <w:rFonts w:hint="eastAsia"/>
                <w:color w:val="000000"/>
                <w:sz w:val="22"/>
                <w:szCs w:val="22"/>
              </w:rPr>
              <w:t>室</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348.75</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1.51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proofErr w:type="gramStart"/>
            <w:r w:rsidRPr="0003013B">
              <w:rPr>
                <w:rFonts w:hint="eastAsia"/>
                <w:color w:val="000000"/>
                <w:sz w:val="22"/>
                <w:szCs w:val="22"/>
              </w:rPr>
              <w:t>彭</w:t>
            </w:r>
            <w:proofErr w:type="gramEnd"/>
            <w:r w:rsidRPr="0003013B">
              <w:rPr>
                <w:rFonts w:hint="eastAsia"/>
                <w:color w:val="000000"/>
                <w:sz w:val="22"/>
                <w:szCs w:val="22"/>
              </w:rPr>
              <w:t>永乐</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吉州区吉州大道</w:t>
            </w:r>
            <w:r w:rsidRPr="0003013B">
              <w:rPr>
                <w:rFonts w:hint="eastAsia"/>
                <w:color w:val="000000"/>
                <w:sz w:val="22"/>
                <w:szCs w:val="22"/>
              </w:rPr>
              <w:t>38</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313.86</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1.36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罗雪梅</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君山大道</w:t>
            </w:r>
            <w:r w:rsidRPr="0003013B">
              <w:rPr>
                <w:rFonts w:hint="eastAsia"/>
                <w:color w:val="000000"/>
                <w:sz w:val="22"/>
                <w:szCs w:val="22"/>
              </w:rPr>
              <w:t>331</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283.93</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1.23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刘冠军</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吉安市吉州区</w:t>
            </w:r>
            <w:proofErr w:type="gramStart"/>
            <w:r w:rsidRPr="0003013B">
              <w:rPr>
                <w:rFonts w:hint="eastAsia"/>
                <w:color w:val="000000"/>
                <w:sz w:val="22"/>
                <w:szCs w:val="22"/>
              </w:rPr>
              <w:t>世兴庙</w:t>
            </w:r>
            <w:proofErr w:type="gramEnd"/>
            <w:r w:rsidRPr="0003013B">
              <w:rPr>
                <w:rFonts w:hint="eastAsia"/>
                <w:color w:val="000000"/>
                <w:sz w:val="22"/>
                <w:szCs w:val="22"/>
              </w:rPr>
              <w:t>路</w:t>
            </w:r>
            <w:r w:rsidRPr="0003013B">
              <w:rPr>
                <w:rFonts w:hint="eastAsia"/>
                <w:color w:val="000000"/>
                <w:sz w:val="22"/>
                <w:szCs w:val="22"/>
              </w:rPr>
              <w:t>6</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253.64</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1.10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lastRenderedPageBreak/>
              <w:t>郭先城</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遂川县建材市场</w:t>
            </w:r>
            <w:r w:rsidRPr="0003013B">
              <w:rPr>
                <w:rFonts w:hint="eastAsia"/>
                <w:color w:val="000000"/>
                <w:sz w:val="22"/>
                <w:szCs w:val="22"/>
              </w:rPr>
              <w:t>B</w:t>
            </w:r>
            <w:r w:rsidRPr="0003013B">
              <w:rPr>
                <w:rFonts w:hint="eastAsia"/>
                <w:color w:val="000000"/>
                <w:sz w:val="22"/>
                <w:szCs w:val="22"/>
              </w:rPr>
              <w:t>栋</w:t>
            </w:r>
            <w:r w:rsidRPr="0003013B">
              <w:rPr>
                <w:rFonts w:hint="eastAsia"/>
                <w:color w:val="000000"/>
                <w:sz w:val="22"/>
                <w:szCs w:val="22"/>
              </w:rPr>
              <w:t>7-8</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247.03</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1.07 </w:t>
            </w:r>
          </w:p>
        </w:tc>
      </w:tr>
      <w:tr w:rsidR="00D45989" w:rsidRPr="0003013B"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proofErr w:type="gramStart"/>
            <w:r w:rsidRPr="0003013B">
              <w:rPr>
                <w:rFonts w:hint="eastAsia"/>
                <w:color w:val="000000"/>
                <w:sz w:val="22"/>
                <w:szCs w:val="22"/>
              </w:rPr>
              <w:t>梁庭兰</w:t>
            </w:r>
            <w:proofErr w:type="gramEnd"/>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江西省吉安市遂川县泉江镇村背</w:t>
            </w:r>
            <w:r w:rsidRPr="0003013B">
              <w:rPr>
                <w:rFonts w:hint="eastAsia"/>
                <w:color w:val="000000"/>
                <w:sz w:val="22"/>
                <w:szCs w:val="22"/>
              </w:rPr>
              <w:t>35</w:t>
            </w:r>
            <w:r w:rsidRPr="0003013B">
              <w:rPr>
                <w:rFonts w:hint="eastAsia"/>
                <w:color w:val="000000"/>
                <w:sz w:val="22"/>
                <w:szCs w:val="22"/>
              </w:rPr>
              <w:t>号附</w:t>
            </w:r>
            <w:r w:rsidRPr="0003013B">
              <w:rPr>
                <w:rFonts w:hint="eastAsia"/>
                <w:color w:val="000000"/>
                <w:sz w:val="22"/>
                <w:szCs w:val="22"/>
              </w:rPr>
              <w:t>2</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214.57</w:t>
            </w:r>
          </w:p>
        </w:tc>
        <w:tc>
          <w:tcPr>
            <w:tcW w:w="963" w:type="dxa"/>
            <w:tcBorders>
              <w:top w:val="nil"/>
              <w:left w:val="nil"/>
              <w:bottom w:val="single" w:sz="4" w:space="0" w:color="auto"/>
              <w:right w:val="single" w:sz="4" w:space="0" w:color="auto"/>
            </w:tcBorders>
            <w:shd w:val="clear" w:color="auto" w:fill="auto"/>
            <w:vAlign w:val="center"/>
          </w:tcPr>
          <w:p w:rsidR="00D45989" w:rsidRPr="0003013B" w:rsidRDefault="00D45989" w:rsidP="00FA0A1C">
            <w:pPr>
              <w:jc w:val="right"/>
              <w:rPr>
                <w:rFonts w:ascii="宋体" w:hAnsi="宋体" w:cs="宋体"/>
                <w:color w:val="000000"/>
                <w:sz w:val="22"/>
                <w:szCs w:val="22"/>
              </w:rPr>
            </w:pPr>
            <w:r w:rsidRPr="0003013B">
              <w:rPr>
                <w:rFonts w:hint="eastAsia"/>
                <w:color w:val="000000"/>
                <w:sz w:val="22"/>
                <w:szCs w:val="22"/>
              </w:rPr>
              <w:t xml:space="preserve">0.93 </w:t>
            </w:r>
          </w:p>
        </w:tc>
      </w:tr>
      <w:tr w:rsidR="00D45989" w:rsidRPr="00884643" w:rsidTr="00FA0A1C">
        <w:trPr>
          <w:trHeight w:val="439"/>
        </w:trPr>
        <w:tc>
          <w:tcPr>
            <w:tcW w:w="1500" w:type="dxa"/>
            <w:tcBorders>
              <w:top w:val="nil"/>
              <w:left w:val="single" w:sz="4" w:space="0" w:color="auto"/>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晏晓萍</w:t>
            </w:r>
          </w:p>
        </w:tc>
        <w:tc>
          <w:tcPr>
            <w:tcW w:w="5550"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rPr>
                <w:rFonts w:ascii="宋体" w:hAnsi="宋体" w:cs="宋体"/>
                <w:color w:val="000000"/>
                <w:sz w:val="22"/>
                <w:szCs w:val="22"/>
              </w:rPr>
            </w:pPr>
            <w:r w:rsidRPr="0003013B">
              <w:rPr>
                <w:rFonts w:hint="eastAsia"/>
                <w:color w:val="000000"/>
                <w:sz w:val="22"/>
                <w:szCs w:val="22"/>
              </w:rPr>
              <w:t>吉州区大桥西路</w:t>
            </w:r>
            <w:r w:rsidRPr="0003013B">
              <w:rPr>
                <w:rFonts w:hint="eastAsia"/>
                <w:color w:val="000000"/>
                <w:sz w:val="22"/>
                <w:szCs w:val="22"/>
              </w:rPr>
              <w:t>7</w:t>
            </w:r>
            <w:r w:rsidRPr="0003013B">
              <w:rPr>
                <w:rFonts w:hint="eastAsia"/>
                <w:color w:val="000000"/>
                <w:sz w:val="22"/>
                <w:szCs w:val="22"/>
              </w:rPr>
              <w:t>号</w:t>
            </w:r>
          </w:p>
        </w:tc>
        <w:tc>
          <w:tcPr>
            <w:tcW w:w="1267" w:type="dxa"/>
            <w:tcBorders>
              <w:top w:val="nil"/>
              <w:left w:val="nil"/>
              <w:bottom w:val="single" w:sz="4" w:space="0" w:color="auto"/>
              <w:right w:val="single" w:sz="4" w:space="0" w:color="auto"/>
            </w:tcBorders>
            <w:shd w:val="clear" w:color="000000" w:fill="FFFFFF"/>
            <w:vAlign w:val="center"/>
          </w:tcPr>
          <w:p w:rsidR="00D45989" w:rsidRPr="0003013B" w:rsidRDefault="00D45989" w:rsidP="00FA0A1C">
            <w:pPr>
              <w:jc w:val="right"/>
              <w:rPr>
                <w:rFonts w:ascii="宋体" w:hAnsi="宋体" w:cs="宋体"/>
                <w:color w:val="000000"/>
                <w:sz w:val="22"/>
                <w:szCs w:val="22"/>
              </w:rPr>
            </w:pPr>
            <w:r>
              <w:rPr>
                <w:rFonts w:ascii="宋体" w:hAnsi="宋体" w:cs="宋体" w:hint="eastAsia"/>
                <w:color w:val="000000"/>
                <w:sz w:val="22"/>
                <w:szCs w:val="22"/>
              </w:rPr>
              <w:t>209.64</w:t>
            </w:r>
          </w:p>
        </w:tc>
        <w:tc>
          <w:tcPr>
            <w:tcW w:w="963" w:type="dxa"/>
            <w:tcBorders>
              <w:top w:val="nil"/>
              <w:left w:val="nil"/>
              <w:bottom w:val="single" w:sz="4" w:space="0" w:color="auto"/>
              <w:right w:val="single" w:sz="4" w:space="0" w:color="auto"/>
            </w:tcBorders>
            <w:shd w:val="clear" w:color="auto" w:fill="auto"/>
            <w:vAlign w:val="center"/>
          </w:tcPr>
          <w:p w:rsidR="00D45989" w:rsidRDefault="00D45989" w:rsidP="00FA0A1C">
            <w:pPr>
              <w:jc w:val="right"/>
              <w:rPr>
                <w:rFonts w:ascii="宋体" w:hAnsi="宋体" w:cs="宋体"/>
                <w:color w:val="000000"/>
                <w:sz w:val="22"/>
                <w:szCs w:val="22"/>
              </w:rPr>
            </w:pPr>
            <w:r w:rsidRPr="0003013B">
              <w:rPr>
                <w:rFonts w:hint="eastAsia"/>
                <w:color w:val="000000"/>
                <w:sz w:val="22"/>
                <w:szCs w:val="22"/>
              </w:rPr>
              <w:t>0.91</w:t>
            </w:r>
            <w:r>
              <w:rPr>
                <w:rFonts w:hint="eastAsia"/>
                <w:color w:val="000000"/>
                <w:sz w:val="22"/>
                <w:szCs w:val="22"/>
              </w:rPr>
              <w:t xml:space="preserve"> </w:t>
            </w:r>
          </w:p>
        </w:tc>
      </w:tr>
    </w:tbl>
    <w:p w:rsidR="00D45989" w:rsidRDefault="00D45989" w:rsidP="00D45989">
      <w:pPr>
        <w:adjustRightInd w:val="0"/>
        <w:snapToGrid w:val="0"/>
        <w:spacing w:line="600" w:lineRule="exact"/>
        <w:jc w:val="center"/>
        <w:rPr>
          <w:rFonts w:ascii="仿宋_GB2312" w:eastAsia="仿宋_GB2312"/>
          <w:b/>
          <w:bCs/>
          <w:sz w:val="24"/>
        </w:rPr>
      </w:pPr>
    </w:p>
    <w:p w:rsidR="00D45989" w:rsidRPr="004D6908" w:rsidRDefault="00D45989" w:rsidP="00D45989">
      <w:pPr>
        <w:adjustRightInd w:val="0"/>
        <w:snapToGrid w:val="0"/>
        <w:spacing w:line="600" w:lineRule="exact"/>
        <w:jc w:val="center"/>
        <w:rPr>
          <w:rFonts w:ascii="黑体" w:eastAsia="黑体" w:hAnsi="黑体"/>
          <w:bCs/>
          <w:sz w:val="32"/>
          <w:szCs w:val="32"/>
        </w:rPr>
      </w:pPr>
      <w:r w:rsidRPr="004D6908">
        <w:rPr>
          <w:rFonts w:ascii="黑体" w:eastAsia="黑体" w:hAnsi="黑体" w:hint="eastAsia"/>
          <w:bCs/>
          <w:sz w:val="32"/>
          <w:szCs w:val="32"/>
        </w:rPr>
        <w:t>第五节  董事、监事、高级管理人员和员工情况</w:t>
      </w:r>
    </w:p>
    <w:p w:rsidR="00D45989" w:rsidRPr="004D6908" w:rsidRDefault="00D45989" w:rsidP="00D45989">
      <w:pPr>
        <w:adjustRightInd w:val="0"/>
        <w:snapToGrid w:val="0"/>
        <w:spacing w:line="600" w:lineRule="exact"/>
        <w:ind w:firstLineChars="200" w:firstLine="640"/>
        <w:jc w:val="left"/>
        <w:rPr>
          <w:rFonts w:ascii="楷体" w:eastAsia="楷体" w:hAnsi="楷体"/>
          <w:b/>
          <w:color w:val="000000"/>
          <w:sz w:val="32"/>
          <w:szCs w:val="32"/>
        </w:rPr>
      </w:pPr>
      <w:r w:rsidRPr="004D6908">
        <w:rPr>
          <w:rFonts w:ascii="楷体" w:eastAsia="楷体" w:hAnsi="楷体" w:hint="eastAsia"/>
          <w:b/>
          <w:color w:val="000000"/>
          <w:sz w:val="32"/>
          <w:szCs w:val="32"/>
        </w:rPr>
        <w:t>一、董事会成员基本情况</w:t>
      </w:r>
    </w:p>
    <w:p w:rsidR="00D45989" w:rsidRPr="004D6908"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4D6908">
        <w:rPr>
          <w:rFonts w:ascii="仿宋_GB2312" w:eastAsia="仿宋_GB2312" w:hint="eastAsia"/>
          <w:color w:val="000000"/>
          <w:sz w:val="32"/>
          <w:szCs w:val="32"/>
        </w:rPr>
        <w:t>本行董事会由11名董事组成， 其中职工董事3名，为左江萍、肖润根、魏祥军；股东董事8名，为叶诗伟、罗晓真、孙建中、</w:t>
      </w:r>
      <w:proofErr w:type="gramStart"/>
      <w:r w:rsidRPr="004D6908">
        <w:rPr>
          <w:rFonts w:ascii="仿宋_GB2312" w:eastAsia="仿宋_GB2312" w:hint="eastAsia"/>
          <w:color w:val="000000"/>
          <w:sz w:val="32"/>
          <w:szCs w:val="32"/>
        </w:rPr>
        <w:t>邹</w:t>
      </w:r>
      <w:proofErr w:type="gramEnd"/>
      <w:r w:rsidRPr="004D6908">
        <w:rPr>
          <w:rFonts w:ascii="仿宋_GB2312" w:eastAsia="仿宋_GB2312" w:hint="eastAsia"/>
          <w:color w:val="000000"/>
          <w:sz w:val="32"/>
          <w:szCs w:val="32"/>
        </w:rPr>
        <w:t>韶华、张梅生、周九香、谢小文、傅安。傅安为独立董事。</w:t>
      </w:r>
      <w:proofErr w:type="gramStart"/>
      <w:r w:rsidRPr="004D6908">
        <w:rPr>
          <w:rFonts w:ascii="仿宋_GB2312" w:eastAsia="仿宋_GB2312" w:hint="eastAsia"/>
          <w:color w:val="000000"/>
          <w:sz w:val="32"/>
          <w:szCs w:val="32"/>
        </w:rPr>
        <w:t>邹</w:t>
      </w:r>
      <w:proofErr w:type="gramEnd"/>
      <w:r w:rsidRPr="004D6908">
        <w:rPr>
          <w:rFonts w:ascii="仿宋_GB2312" w:eastAsia="仿宋_GB2312" w:hint="eastAsia"/>
          <w:color w:val="000000"/>
          <w:sz w:val="32"/>
          <w:szCs w:val="32"/>
        </w:rPr>
        <w:t>韶华于信息披露日前去世。</w:t>
      </w:r>
    </w:p>
    <w:p w:rsidR="00D45989" w:rsidRPr="004D6908" w:rsidRDefault="00D45989" w:rsidP="00D45989">
      <w:pPr>
        <w:adjustRightInd w:val="0"/>
        <w:snapToGrid w:val="0"/>
        <w:spacing w:line="600" w:lineRule="exact"/>
        <w:ind w:firstLineChars="200" w:firstLine="640"/>
        <w:jc w:val="left"/>
        <w:rPr>
          <w:rFonts w:ascii="楷体" w:eastAsia="楷体" w:hAnsi="楷体"/>
          <w:b/>
          <w:color w:val="000000"/>
          <w:sz w:val="32"/>
          <w:szCs w:val="32"/>
        </w:rPr>
      </w:pPr>
      <w:r w:rsidRPr="004D6908">
        <w:rPr>
          <w:rFonts w:ascii="楷体" w:eastAsia="楷体" w:hAnsi="楷体" w:hint="eastAsia"/>
          <w:b/>
          <w:color w:val="000000"/>
          <w:sz w:val="32"/>
          <w:szCs w:val="32"/>
        </w:rPr>
        <w:t>二、监事会成员基本情况</w:t>
      </w:r>
    </w:p>
    <w:p w:rsidR="00D45989" w:rsidRPr="004D6908"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4D6908">
        <w:rPr>
          <w:rFonts w:ascii="仿宋_GB2312" w:eastAsia="仿宋_GB2312" w:hint="eastAsia"/>
          <w:color w:val="000000"/>
          <w:sz w:val="32"/>
          <w:szCs w:val="32"/>
        </w:rPr>
        <w:t>本行监事会由9名监事组成，其中职工监事3名，为邹先华、郭琴、刘芳斌；非职工监事6名，为郭启云、谢建华、彭秋华、梁院生、</w:t>
      </w:r>
      <w:r>
        <w:rPr>
          <w:rFonts w:ascii="仿宋_GB2312" w:eastAsia="仿宋_GB2312" w:hint="eastAsia"/>
          <w:color w:val="000000"/>
          <w:sz w:val="32"/>
          <w:szCs w:val="32"/>
        </w:rPr>
        <w:t>尹小勇</w:t>
      </w:r>
      <w:r w:rsidRPr="004D6908">
        <w:rPr>
          <w:rFonts w:ascii="仿宋_GB2312" w:eastAsia="仿宋_GB2312" w:hint="eastAsia"/>
          <w:color w:val="000000"/>
          <w:sz w:val="32"/>
          <w:szCs w:val="32"/>
        </w:rPr>
        <w:t>、陈秋华。</w:t>
      </w:r>
    </w:p>
    <w:p w:rsidR="00D45989" w:rsidRPr="004D6908" w:rsidRDefault="00D45989" w:rsidP="00D45989">
      <w:pPr>
        <w:adjustRightInd w:val="0"/>
        <w:snapToGrid w:val="0"/>
        <w:spacing w:line="600" w:lineRule="exact"/>
        <w:ind w:firstLineChars="200" w:firstLine="640"/>
        <w:rPr>
          <w:rFonts w:ascii="楷体" w:eastAsia="楷体" w:hAnsi="楷体"/>
          <w:b/>
          <w:color w:val="000000"/>
          <w:sz w:val="32"/>
          <w:szCs w:val="32"/>
        </w:rPr>
      </w:pPr>
      <w:r w:rsidRPr="004D6908">
        <w:rPr>
          <w:rFonts w:ascii="楷体" w:eastAsia="楷体" w:hAnsi="楷体" w:hint="eastAsia"/>
          <w:b/>
          <w:color w:val="000000"/>
          <w:sz w:val="32"/>
          <w:szCs w:val="32"/>
        </w:rPr>
        <w:t>三、员工情况</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4D6908">
        <w:rPr>
          <w:rFonts w:ascii="仿宋_GB2312" w:eastAsia="仿宋_GB2312" w:hint="eastAsia"/>
          <w:color w:val="000000"/>
          <w:sz w:val="32"/>
          <w:szCs w:val="32"/>
        </w:rPr>
        <w:t>报告期末，本行在岗员工</w:t>
      </w:r>
      <w:r>
        <w:rPr>
          <w:rFonts w:ascii="仿宋_GB2312" w:eastAsia="仿宋_GB2312" w:hint="eastAsia"/>
          <w:color w:val="000000"/>
          <w:sz w:val="32"/>
          <w:szCs w:val="32"/>
        </w:rPr>
        <w:t>277</w:t>
      </w:r>
      <w:r w:rsidRPr="004D6908">
        <w:rPr>
          <w:rFonts w:ascii="仿宋_GB2312" w:eastAsia="仿宋_GB2312" w:hint="eastAsia"/>
          <w:color w:val="000000"/>
          <w:sz w:val="32"/>
          <w:szCs w:val="32"/>
        </w:rPr>
        <w:t>人，学历结构分布如下：本科及以上学历</w:t>
      </w:r>
      <w:r>
        <w:rPr>
          <w:rFonts w:ascii="仿宋_GB2312" w:eastAsia="仿宋_GB2312" w:hint="eastAsia"/>
          <w:color w:val="000000"/>
          <w:sz w:val="32"/>
          <w:szCs w:val="32"/>
        </w:rPr>
        <w:t>177</w:t>
      </w:r>
      <w:r w:rsidRPr="004D6908">
        <w:rPr>
          <w:rFonts w:ascii="仿宋_GB2312" w:eastAsia="仿宋_GB2312" w:hint="eastAsia"/>
          <w:color w:val="000000"/>
          <w:sz w:val="32"/>
          <w:szCs w:val="32"/>
        </w:rPr>
        <w:t>人，占员工总数的</w:t>
      </w:r>
      <w:r>
        <w:rPr>
          <w:rFonts w:ascii="仿宋_GB2312" w:eastAsia="仿宋_GB2312" w:hint="eastAsia"/>
          <w:color w:val="000000"/>
          <w:sz w:val="32"/>
          <w:szCs w:val="32"/>
        </w:rPr>
        <w:t>63.90</w:t>
      </w:r>
      <w:r w:rsidRPr="004D6908">
        <w:rPr>
          <w:rFonts w:ascii="仿宋_GB2312" w:eastAsia="仿宋_GB2312" w:hint="eastAsia"/>
          <w:color w:val="000000"/>
          <w:sz w:val="32"/>
          <w:szCs w:val="32"/>
        </w:rPr>
        <w:t>%；大专学历</w:t>
      </w:r>
      <w:r>
        <w:rPr>
          <w:rFonts w:ascii="仿宋_GB2312" w:eastAsia="仿宋_GB2312" w:hint="eastAsia"/>
          <w:color w:val="000000"/>
          <w:sz w:val="32"/>
          <w:szCs w:val="32"/>
        </w:rPr>
        <w:t>77</w:t>
      </w:r>
      <w:r w:rsidRPr="004D6908">
        <w:rPr>
          <w:rFonts w:ascii="仿宋_GB2312" w:eastAsia="仿宋_GB2312" w:hint="eastAsia"/>
          <w:color w:val="000000"/>
          <w:sz w:val="32"/>
          <w:szCs w:val="32"/>
        </w:rPr>
        <w:t>人，占员工总数的</w:t>
      </w:r>
      <w:r>
        <w:rPr>
          <w:rFonts w:ascii="仿宋_GB2312" w:eastAsia="仿宋_GB2312" w:hint="eastAsia"/>
          <w:color w:val="000000"/>
          <w:sz w:val="32"/>
          <w:szCs w:val="32"/>
        </w:rPr>
        <w:t>27.88</w:t>
      </w:r>
      <w:r w:rsidRPr="004D6908">
        <w:rPr>
          <w:rFonts w:ascii="仿宋_GB2312" w:eastAsia="仿宋_GB2312" w:hint="eastAsia"/>
          <w:color w:val="000000"/>
          <w:sz w:val="32"/>
          <w:szCs w:val="32"/>
        </w:rPr>
        <w:t>%；大专以下学历</w:t>
      </w:r>
      <w:r>
        <w:rPr>
          <w:rFonts w:ascii="仿宋_GB2312" w:eastAsia="仿宋_GB2312" w:hint="eastAsia"/>
          <w:color w:val="000000"/>
          <w:sz w:val="32"/>
          <w:szCs w:val="32"/>
        </w:rPr>
        <w:t>23</w:t>
      </w:r>
      <w:r w:rsidRPr="004D6908">
        <w:rPr>
          <w:rFonts w:ascii="仿宋_GB2312" w:eastAsia="仿宋_GB2312" w:hint="eastAsia"/>
          <w:color w:val="000000"/>
          <w:sz w:val="32"/>
          <w:szCs w:val="32"/>
        </w:rPr>
        <w:t>人，员工总数的</w:t>
      </w:r>
      <w:r>
        <w:rPr>
          <w:rFonts w:ascii="仿宋_GB2312" w:eastAsia="仿宋_GB2312" w:hint="eastAsia"/>
          <w:color w:val="000000"/>
          <w:sz w:val="32"/>
          <w:szCs w:val="32"/>
        </w:rPr>
        <w:t>8.30</w:t>
      </w:r>
      <w:r w:rsidRPr="004D6908">
        <w:rPr>
          <w:rFonts w:ascii="仿宋_GB2312" w:eastAsia="仿宋_GB2312" w:hint="eastAsia"/>
          <w:color w:val="000000"/>
          <w:sz w:val="32"/>
          <w:szCs w:val="32"/>
        </w:rPr>
        <w:t>%。</w:t>
      </w:r>
    </w:p>
    <w:p w:rsidR="00D45989" w:rsidRPr="00884643" w:rsidRDefault="00D45989" w:rsidP="00D45989">
      <w:pPr>
        <w:adjustRightInd w:val="0"/>
        <w:snapToGrid w:val="0"/>
        <w:spacing w:line="600" w:lineRule="exact"/>
        <w:jc w:val="center"/>
        <w:rPr>
          <w:rFonts w:ascii="黑体" w:eastAsia="黑体" w:hAnsi="黑体"/>
          <w:bCs/>
          <w:sz w:val="32"/>
          <w:szCs w:val="32"/>
        </w:rPr>
      </w:pPr>
      <w:r w:rsidRPr="00884643">
        <w:rPr>
          <w:rFonts w:ascii="黑体" w:eastAsia="黑体" w:hAnsi="黑体" w:hint="eastAsia"/>
          <w:bCs/>
          <w:sz w:val="32"/>
          <w:szCs w:val="32"/>
        </w:rPr>
        <w:t>第六节  公司治理情况</w:t>
      </w:r>
    </w:p>
    <w:p w:rsidR="00D45989" w:rsidRPr="00884643" w:rsidRDefault="00D45989" w:rsidP="00D45989">
      <w:pPr>
        <w:adjustRightInd w:val="0"/>
        <w:snapToGrid w:val="0"/>
        <w:spacing w:line="600" w:lineRule="exact"/>
        <w:ind w:firstLineChars="200" w:firstLine="640"/>
        <w:rPr>
          <w:rFonts w:ascii="楷体" w:eastAsia="楷体" w:hAnsi="楷体"/>
          <w:b/>
          <w:color w:val="000000"/>
          <w:sz w:val="32"/>
          <w:szCs w:val="32"/>
        </w:rPr>
      </w:pPr>
      <w:r w:rsidRPr="00884643">
        <w:rPr>
          <w:rFonts w:ascii="楷体" w:eastAsia="楷体" w:hAnsi="楷体" w:hint="eastAsia"/>
          <w:b/>
          <w:color w:val="000000"/>
          <w:sz w:val="32"/>
          <w:szCs w:val="32"/>
        </w:rPr>
        <w:t>一、股东大会情况简介</w:t>
      </w:r>
    </w:p>
    <w:p w:rsidR="00D45989" w:rsidRPr="00884643" w:rsidRDefault="00D45989" w:rsidP="00D45989">
      <w:pPr>
        <w:adjustRightInd w:val="0"/>
        <w:snapToGrid w:val="0"/>
        <w:spacing w:line="600" w:lineRule="exact"/>
        <w:ind w:firstLineChars="200" w:firstLine="643"/>
        <w:rPr>
          <w:rFonts w:ascii="仿宋_GB2312" w:eastAsia="仿宋_GB2312"/>
          <w:b/>
          <w:bCs/>
          <w:sz w:val="32"/>
          <w:szCs w:val="32"/>
        </w:rPr>
      </w:pPr>
      <w:r w:rsidRPr="00884643">
        <w:rPr>
          <w:rFonts w:ascii="仿宋_GB2312" w:eastAsia="仿宋_GB2312" w:hint="eastAsia"/>
          <w:b/>
          <w:color w:val="000000"/>
          <w:sz w:val="32"/>
          <w:szCs w:val="32"/>
        </w:rPr>
        <w:t>（一）报告期内股东大会的通知、召集、召开情况</w:t>
      </w:r>
    </w:p>
    <w:p w:rsidR="00D45989" w:rsidRPr="004D6908"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4D6908">
        <w:rPr>
          <w:rFonts w:ascii="仿宋_GB2312" w:eastAsia="仿宋_GB2312" w:hint="eastAsia"/>
          <w:color w:val="000000"/>
          <w:sz w:val="32"/>
          <w:szCs w:val="32"/>
        </w:rPr>
        <w:t>2018年6月26日，遂川农商银行在十二楼会议室召开了2017年度股东大会。股东大会的召开，本行提前发布了</w:t>
      </w:r>
      <w:r w:rsidRPr="004D6908">
        <w:rPr>
          <w:rFonts w:ascii="仿宋_GB2312" w:eastAsia="仿宋_GB2312" w:hint="eastAsia"/>
          <w:color w:val="000000"/>
          <w:sz w:val="32"/>
          <w:szCs w:val="32"/>
        </w:rPr>
        <w:lastRenderedPageBreak/>
        <w:t>会议公告。公告列明了会议召开的时间、地点、提交审议的事项，并说明了股东有权出席或可委托代理人出席和行使表决权，以及公司联系地址、联系人等事项。</w:t>
      </w:r>
    </w:p>
    <w:p w:rsidR="00D45989" w:rsidRPr="00884643" w:rsidRDefault="00D45989" w:rsidP="00D45989">
      <w:pPr>
        <w:adjustRightInd w:val="0"/>
        <w:snapToGrid w:val="0"/>
        <w:spacing w:line="600" w:lineRule="exact"/>
        <w:ind w:firstLineChars="200" w:firstLine="643"/>
        <w:rPr>
          <w:rFonts w:ascii="仿宋_GB2312" w:eastAsia="仿宋_GB2312"/>
          <w:b/>
          <w:color w:val="000000"/>
          <w:sz w:val="32"/>
          <w:szCs w:val="32"/>
        </w:rPr>
      </w:pPr>
      <w:r w:rsidRPr="00884643">
        <w:rPr>
          <w:rFonts w:ascii="仿宋_GB2312" w:eastAsia="仿宋_GB2312" w:hint="eastAsia"/>
          <w:b/>
          <w:color w:val="000000"/>
          <w:sz w:val="32"/>
          <w:szCs w:val="32"/>
        </w:rPr>
        <w:t>（二）股东大会审议的决议情况</w:t>
      </w:r>
    </w:p>
    <w:p w:rsidR="00D45989" w:rsidRPr="004D6908" w:rsidRDefault="00D45989" w:rsidP="00D45989">
      <w:pPr>
        <w:adjustRightInd w:val="0"/>
        <w:snapToGrid w:val="0"/>
        <w:spacing w:line="600" w:lineRule="exact"/>
        <w:ind w:firstLineChars="200" w:firstLine="640"/>
        <w:jc w:val="left"/>
        <w:rPr>
          <w:rFonts w:ascii="仿宋_GB2312" w:eastAsia="仿宋_GB2312" w:hAnsi="仿宋"/>
          <w:color w:val="000000"/>
          <w:sz w:val="32"/>
          <w:szCs w:val="32"/>
        </w:rPr>
      </w:pPr>
      <w:r w:rsidRPr="004D6908">
        <w:rPr>
          <w:rFonts w:ascii="仿宋_GB2312" w:eastAsia="仿宋_GB2312" w:hint="eastAsia"/>
          <w:color w:val="000000"/>
          <w:sz w:val="32"/>
          <w:szCs w:val="32"/>
        </w:rPr>
        <w:t>2018年6月26日，遂川农商银行在十二楼会议室召开</w:t>
      </w:r>
      <w:r w:rsidRPr="004D6908">
        <w:rPr>
          <w:rFonts w:ascii="仿宋_GB2312" w:eastAsia="仿宋_GB2312" w:hAnsi="仿宋" w:hint="eastAsia"/>
          <w:color w:val="000000"/>
          <w:sz w:val="32"/>
          <w:szCs w:val="32"/>
        </w:rPr>
        <w:t>了</w:t>
      </w:r>
      <w:r w:rsidRPr="004D6908">
        <w:rPr>
          <w:rFonts w:ascii="仿宋_GB2312" w:eastAsia="仿宋_GB2312" w:hint="eastAsia"/>
          <w:color w:val="000000"/>
          <w:sz w:val="32"/>
          <w:szCs w:val="32"/>
        </w:rPr>
        <w:t>2017</w:t>
      </w:r>
      <w:r w:rsidRPr="004D6908">
        <w:rPr>
          <w:rFonts w:ascii="仿宋_GB2312" w:eastAsia="仿宋_GB2312" w:hAnsi="仿宋" w:hint="eastAsia"/>
          <w:sz w:val="32"/>
          <w:szCs w:val="32"/>
        </w:rPr>
        <w:t>年度股东大会</w:t>
      </w:r>
      <w:r w:rsidRPr="004D6908">
        <w:rPr>
          <w:rFonts w:ascii="仿宋_GB2312" w:eastAsia="仿宋_GB2312" w:hAnsi="仿宋" w:hint="eastAsia"/>
          <w:color w:val="000000"/>
          <w:sz w:val="32"/>
          <w:szCs w:val="32"/>
        </w:rPr>
        <w:t>，本次股东会议股东（含代理人）以投票表决方式对下列事项进行了表决，审议通过了</w:t>
      </w:r>
      <w:r w:rsidRPr="004D6908">
        <w:rPr>
          <w:rFonts w:ascii="仿宋_GB2312" w:eastAsia="仿宋_GB2312" w:hAnsi="仿宋" w:hint="eastAsia"/>
          <w:sz w:val="32"/>
          <w:szCs w:val="32"/>
        </w:rPr>
        <w:t>《遂川农商银行二O一七年度董事会工作报告》、《遂川农商银行二O一七年度监事会工作报告》、《遂川农商银行二0七年独立董事述职报告》、《遂川农商银行二O一七年财务决算、利润分配方案》、《遂川农商银行二O一八年度财务预算（草案）》、《遂川农商银行二O一七年度信息披露的提案》、《关于修改&lt;江西遂川农村商业银行股份有限公司章程&gt;的提案》、《遂川农商银行监事会关于对董事和高级管理人员履职情况及考核评价结果的报告》《遂川农商银行监事会关于对职工监事的评价及非职工监事相互评价结果的报告》、《关于对遂川农商银行非职工董事进行换届选举的提案》、《关于对遂川农商银行非职工监事进行换届选举的提案》</w:t>
      </w:r>
      <w:r w:rsidRPr="004D6908">
        <w:rPr>
          <w:rFonts w:ascii="仿宋_GB2312" w:eastAsia="仿宋_GB2312" w:hAnsi="仿宋" w:hint="eastAsia"/>
          <w:color w:val="000000"/>
          <w:sz w:val="32"/>
          <w:szCs w:val="32"/>
        </w:rPr>
        <w:t>等11项议案。</w:t>
      </w:r>
    </w:p>
    <w:p w:rsidR="00D45989" w:rsidRPr="00884643" w:rsidRDefault="00D45989" w:rsidP="00D45989">
      <w:pPr>
        <w:adjustRightInd w:val="0"/>
        <w:snapToGrid w:val="0"/>
        <w:spacing w:line="600" w:lineRule="exact"/>
        <w:ind w:firstLineChars="200" w:firstLine="640"/>
        <w:rPr>
          <w:rFonts w:ascii="楷体" w:eastAsia="楷体" w:hAnsi="楷体"/>
          <w:b/>
          <w:color w:val="000000"/>
          <w:sz w:val="32"/>
          <w:szCs w:val="32"/>
        </w:rPr>
      </w:pPr>
      <w:r w:rsidRPr="00884643">
        <w:rPr>
          <w:rFonts w:ascii="楷体" w:eastAsia="楷体" w:hAnsi="楷体" w:hint="eastAsia"/>
          <w:b/>
          <w:color w:val="000000"/>
          <w:sz w:val="32"/>
          <w:szCs w:val="32"/>
        </w:rPr>
        <w:t>二、董事会情况简介</w:t>
      </w:r>
    </w:p>
    <w:p w:rsidR="00D45989" w:rsidRPr="00884643" w:rsidRDefault="00D45989" w:rsidP="00D45989">
      <w:pPr>
        <w:adjustRightInd w:val="0"/>
        <w:snapToGrid w:val="0"/>
        <w:spacing w:line="600" w:lineRule="exact"/>
        <w:ind w:firstLineChars="200" w:firstLine="643"/>
        <w:rPr>
          <w:rFonts w:ascii="仿宋_GB2312" w:eastAsia="仿宋_GB2312"/>
          <w:b/>
          <w:color w:val="000000"/>
          <w:sz w:val="32"/>
          <w:szCs w:val="32"/>
        </w:rPr>
      </w:pPr>
      <w:r w:rsidRPr="00884643">
        <w:rPr>
          <w:rFonts w:ascii="仿宋_GB2312" w:eastAsia="仿宋_GB2312" w:hint="eastAsia"/>
          <w:b/>
          <w:color w:val="000000"/>
          <w:sz w:val="32"/>
          <w:szCs w:val="32"/>
        </w:rPr>
        <w:t>（一）报告期内董事会的通知、召集、召开情况</w:t>
      </w:r>
    </w:p>
    <w:p w:rsidR="00D45989" w:rsidRPr="0003748D" w:rsidRDefault="00D45989" w:rsidP="00D45989">
      <w:pPr>
        <w:adjustRightInd w:val="0"/>
        <w:snapToGrid w:val="0"/>
        <w:spacing w:line="600" w:lineRule="exact"/>
        <w:ind w:firstLineChars="200" w:firstLine="640"/>
        <w:rPr>
          <w:rFonts w:ascii="仿宋_GB2312" w:eastAsia="仿宋_GB2312"/>
          <w:color w:val="000000"/>
          <w:sz w:val="32"/>
          <w:szCs w:val="32"/>
        </w:rPr>
      </w:pPr>
      <w:r w:rsidRPr="0003748D">
        <w:rPr>
          <w:rFonts w:ascii="仿宋_GB2312" w:eastAsia="仿宋_GB2312" w:hint="eastAsia"/>
          <w:color w:val="000000"/>
          <w:sz w:val="32"/>
          <w:szCs w:val="32"/>
        </w:rPr>
        <w:t>1.2018年3月30日，召开了遂川农商银行第一届董事会第十七次会议；</w:t>
      </w:r>
    </w:p>
    <w:p w:rsidR="00D45989" w:rsidRPr="0003748D"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03748D">
        <w:rPr>
          <w:rFonts w:ascii="仿宋_GB2312" w:eastAsia="仿宋_GB2312" w:hint="eastAsia"/>
          <w:color w:val="000000"/>
          <w:sz w:val="32"/>
          <w:szCs w:val="32"/>
        </w:rPr>
        <w:t>2.2018年6月26日，召开了遂川农商银行第一届董事</w:t>
      </w:r>
      <w:r w:rsidRPr="0003748D">
        <w:rPr>
          <w:rFonts w:ascii="仿宋_GB2312" w:eastAsia="仿宋_GB2312" w:hint="eastAsia"/>
          <w:color w:val="000000"/>
          <w:sz w:val="32"/>
          <w:szCs w:val="32"/>
        </w:rPr>
        <w:lastRenderedPageBreak/>
        <w:t>会第十八次会议；</w:t>
      </w:r>
    </w:p>
    <w:p w:rsidR="00D45989" w:rsidRPr="0003748D"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03748D">
        <w:rPr>
          <w:rFonts w:ascii="仿宋_GB2312" w:eastAsia="仿宋_GB2312" w:hint="eastAsia"/>
          <w:color w:val="000000"/>
          <w:sz w:val="32"/>
          <w:szCs w:val="32"/>
        </w:rPr>
        <w:t>3.2018年9月30日，召开了遂川农商银行第一届董事会第十九次会议；</w:t>
      </w:r>
    </w:p>
    <w:p w:rsidR="00D45989" w:rsidRPr="0003748D"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03748D">
        <w:rPr>
          <w:rFonts w:ascii="仿宋_GB2312" w:eastAsia="仿宋_GB2312" w:hint="eastAsia"/>
          <w:color w:val="000000"/>
          <w:sz w:val="32"/>
          <w:szCs w:val="32"/>
        </w:rPr>
        <w:t>4.2018年12月28</w:t>
      </w:r>
      <w:r w:rsidR="009D5898">
        <w:rPr>
          <w:rFonts w:ascii="仿宋_GB2312" w:eastAsia="仿宋_GB2312" w:hint="eastAsia"/>
          <w:color w:val="000000"/>
          <w:sz w:val="32"/>
          <w:szCs w:val="32"/>
        </w:rPr>
        <w:t>日，召开了遂川农商银行第一届董事会第二十</w:t>
      </w:r>
      <w:r w:rsidRPr="0003748D">
        <w:rPr>
          <w:rFonts w:ascii="仿宋_GB2312" w:eastAsia="仿宋_GB2312" w:hint="eastAsia"/>
          <w:color w:val="000000"/>
          <w:sz w:val="32"/>
          <w:szCs w:val="32"/>
        </w:rPr>
        <w:t>次会议</w:t>
      </w:r>
    </w:p>
    <w:p w:rsidR="00D45989" w:rsidRPr="0003748D" w:rsidRDefault="00D45989" w:rsidP="00D45989">
      <w:pPr>
        <w:adjustRightInd w:val="0"/>
        <w:snapToGrid w:val="0"/>
        <w:spacing w:line="600" w:lineRule="exact"/>
        <w:ind w:firstLineChars="200" w:firstLine="640"/>
        <w:rPr>
          <w:rFonts w:ascii="仿宋_GB2312" w:eastAsia="仿宋_GB2312"/>
          <w:color w:val="000000"/>
          <w:sz w:val="32"/>
          <w:szCs w:val="32"/>
        </w:rPr>
      </w:pPr>
      <w:r w:rsidRPr="0003748D">
        <w:rPr>
          <w:rFonts w:ascii="仿宋_GB2312" w:eastAsia="仿宋_GB2312" w:hint="eastAsia"/>
          <w:color w:val="000000"/>
          <w:sz w:val="32"/>
          <w:szCs w:val="32"/>
        </w:rPr>
        <w:t>以上会议召开，事前均以会议通知形式将会议召开的时间、地点、提交审议的事项予以告示，并说明了可委托其他董事代为出席和行使表决权，以及公司联系地址、联系人等事项。</w:t>
      </w:r>
    </w:p>
    <w:p w:rsidR="00D45989" w:rsidRPr="00884643" w:rsidRDefault="00D45989" w:rsidP="00D45989">
      <w:pPr>
        <w:adjustRightInd w:val="0"/>
        <w:snapToGrid w:val="0"/>
        <w:spacing w:line="600" w:lineRule="exact"/>
        <w:ind w:firstLineChars="200" w:firstLine="643"/>
        <w:rPr>
          <w:rFonts w:ascii="仿宋_GB2312" w:eastAsia="仿宋_GB2312"/>
          <w:b/>
          <w:color w:val="000000"/>
          <w:sz w:val="32"/>
          <w:szCs w:val="32"/>
        </w:rPr>
      </w:pPr>
      <w:r w:rsidRPr="00884643">
        <w:rPr>
          <w:rFonts w:ascii="仿宋_GB2312" w:eastAsia="仿宋_GB2312" w:hint="eastAsia"/>
          <w:b/>
          <w:color w:val="000000"/>
          <w:sz w:val="32"/>
          <w:szCs w:val="32"/>
        </w:rPr>
        <w:t>（二）董事会审议的决议情况</w:t>
      </w:r>
    </w:p>
    <w:p w:rsidR="00D45989" w:rsidRPr="004D6908" w:rsidRDefault="00D45989" w:rsidP="00D4598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4D6908">
        <w:rPr>
          <w:rFonts w:ascii="仿宋_GB2312" w:eastAsia="仿宋_GB2312" w:hint="eastAsia"/>
          <w:color w:val="000000"/>
          <w:sz w:val="32"/>
          <w:szCs w:val="32"/>
        </w:rPr>
        <w:t>2018年3月30</w:t>
      </w:r>
      <w:r w:rsidR="009D5898">
        <w:rPr>
          <w:rFonts w:ascii="仿宋_GB2312" w:eastAsia="仿宋_GB2312" w:hint="eastAsia"/>
          <w:color w:val="000000"/>
          <w:sz w:val="32"/>
          <w:szCs w:val="32"/>
        </w:rPr>
        <w:t>日，遂川农商银行在五楼会议召开了第一届董事会第十七</w:t>
      </w:r>
      <w:r w:rsidRPr="004D6908">
        <w:rPr>
          <w:rFonts w:ascii="仿宋_GB2312" w:eastAsia="仿宋_GB2312" w:hint="eastAsia"/>
          <w:color w:val="000000"/>
          <w:sz w:val="32"/>
          <w:szCs w:val="32"/>
        </w:rPr>
        <w:t>次会议。会议审议通过《关于江西遂川农村商业银行股份有限公司股金转让的议案》（客户刘金莲等8户91.20万元的股金转让）、《2018年遂川农商行工作规划》决议等议案，听取了消费者保护权益委员会对2017年工作汇报。各位董事分析了当前经营情况，对我行2018年工作并</w:t>
      </w:r>
      <w:proofErr w:type="gramStart"/>
      <w:r w:rsidRPr="004D6908">
        <w:rPr>
          <w:rFonts w:ascii="仿宋_GB2312" w:eastAsia="仿宋_GB2312" w:hint="eastAsia"/>
          <w:color w:val="000000"/>
          <w:sz w:val="32"/>
          <w:szCs w:val="32"/>
        </w:rPr>
        <w:t>纷</w:t>
      </w:r>
      <w:proofErr w:type="gramEnd"/>
      <w:r w:rsidRPr="004D6908">
        <w:rPr>
          <w:rFonts w:ascii="仿宋_GB2312" w:eastAsia="仿宋_GB2312" w:hint="eastAsia"/>
          <w:color w:val="000000"/>
          <w:sz w:val="32"/>
          <w:szCs w:val="32"/>
        </w:rPr>
        <w:t>提出了宝贵的意见和建议。</w:t>
      </w:r>
    </w:p>
    <w:p w:rsidR="00D45989" w:rsidRPr="004D6908"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w:t>
      </w:r>
      <w:r w:rsidRPr="004D6908">
        <w:rPr>
          <w:rFonts w:ascii="仿宋_GB2312" w:eastAsia="仿宋_GB2312" w:hint="eastAsia"/>
          <w:color w:val="000000"/>
          <w:sz w:val="32"/>
          <w:szCs w:val="32"/>
        </w:rPr>
        <w:t>2018年6月26</w:t>
      </w:r>
      <w:r w:rsidR="009D5898">
        <w:rPr>
          <w:rFonts w:ascii="仿宋_GB2312" w:eastAsia="仿宋_GB2312" w:hint="eastAsia"/>
          <w:color w:val="000000"/>
          <w:sz w:val="32"/>
          <w:szCs w:val="32"/>
        </w:rPr>
        <w:t>日，遂川农商银行在五楼会议召开了第一届董事会第十八</w:t>
      </w:r>
      <w:bookmarkStart w:id="0" w:name="_GoBack"/>
      <w:bookmarkEnd w:id="0"/>
      <w:r w:rsidRPr="004D6908">
        <w:rPr>
          <w:rFonts w:ascii="仿宋_GB2312" w:eastAsia="仿宋_GB2312" w:hint="eastAsia"/>
          <w:color w:val="000000"/>
          <w:sz w:val="32"/>
          <w:szCs w:val="32"/>
        </w:rPr>
        <w:t>次会议。会议审议通过了《遂川农商银行二O一七年度董事会工作报告》、《遂川农商银行二O一七年财务决算、利润分配方案》、《遂川农商银行二O一八年度财务预算（草案）》、《遂川农商银行二O一七年度信息披露</w:t>
      </w:r>
      <w:r w:rsidRPr="004D6908">
        <w:rPr>
          <w:rFonts w:ascii="仿宋_GB2312" w:eastAsia="仿宋_GB2312" w:hint="eastAsia"/>
          <w:color w:val="000000"/>
          <w:sz w:val="32"/>
          <w:szCs w:val="32"/>
        </w:rPr>
        <w:lastRenderedPageBreak/>
        <w:t>的提案》、《关于修改&lt;江西遂川农村商业银行股份有限公司章程&gt;的提案》、《关于提名叶诗伟等为遂川农商银行第一届董事会非职工董事和独立董事候选人的提案》、《关于聘任郭琴同志为稽核审计部总经理的提案》等议案。</w:t>
      </w:r>
    </w:p>
    <w:p w:rsidR="00D45989" w:rsidRPr="004D6908" w:rsidRDefault="00D45989" w:rsidP="00D45989">
      <w:pPr>
        <w:ind w:firstLineChars="250" w:firstLine="800"/>
        <w:rPr>
          <w:rFonts w:ascii="仿宋_GB2312" w:eastAsia="仿宋_GB2312"/>
          <w:color w:val="000000"/>
          <w:sz w:val="32"/>
          <w:szCs w:val="32"/>
        </w:rPr>
      </w:pPr>
      <w:r>
        <w:rPr>
          <w:rFonts w:ascii="仿宋_GB2312" w:eastAsia="仿宋_GB2312" w:hint="eastAsia"/>
          <w:color w:val="000000"/>
          <w:sz w:val="32"/>
          <w:szCs w:val="32"/>
        </w:rPr>
        <w:t>3.</w:t>
      </w:r>
      <w:r w:rsidRPr="004D6908">
        <w:rPr>
          <w:rFonts w:ascii="仿宋_GB2312" w:eastAsia="仿宋_GB2312" w:hint="eastAsia"/>
          <w:color w:val="000000"/>
          <w:sz w:val="32"/>
          <w:szCs w:val="32"/>
        </w:rPr>
        <w:t>2018年9月30日，遂川农商银行在五楼会议室召开了第一届董事会第十九次会议，会议审议通过了《关于江西遂川农村商业银行股份有限公司股金转让的议案》。</w:t>
      </w:r>
    </w:p>
    <w:p w:rsidR="00D45989" w:rsidRPr="004D6908" w:rsidRDefault="00D45989" w:rsidP="00D45989">
      <w:pPr>
        <w:ind w:firstLineChars="250" w:firstLine="800"/>
        <w:rPr>
          <w:rFonts w:ascii="仿宋_GB2312" w:eastAsia="仿宋_GB2312"/>
          <w:color w:val="000000"/>
          <w:sz w:val="32"/>
          <w:szCs w:val="32"/>
        </w:rPr>
      </w:pPr>
      <w:r>
        <w:rPr>
          <w:rFonts w:ascii="仿宋_GB2312" w:eastAsia="仿宋_GB2312" w:hint="eastAsia"/>
          <w:color w:val="000000"/>
          <w:sz w:val="32"/>
          <w:szCs w:val="32"/>
        </w:rPr>
        <w:t>4.</w:t>
      </w:r>
      <w:r w:rsidRPr="004D6908">
        <w:rPr>
          <w:rFonts w:ascii="仿宋_GB2312" w:eastAsia="仿宋_GB2312" w:hint="eastAsia"/>
          <w:color w:val="000000"/>
          <w:sz w:val="32"/>
          <w:szCs w:val="32"/>
        </w:rPr>
        <w:t>2018年12月28日，遂川农商银行在五楼会议室召开了第一届董事会第二十次会议，会议审议通过了关于邹先华同志岗位调整议案，邹先华同志任党委委员、纪委书记、监事长调整为党委委员、副行长。</w:t>
      </w:r>
    </w:p>
    <w:p w:rsidR="00D45989" w:rsidRPr="00884643" w:rsidRDefault="00D45989" w:rsidP="00D45989">
      <w:pPr>
        <w:adjustRightInd w:val="0"/>
        <w:snapToGrid w:val="0"/>
        <w:spacing w:line="600" w:lineRule="exact"/>
        <w:ind w:firstLineChars="200" w:firstLine="640"/>
        <w:rPr>
          <w:rFonts w:ascii="楷体" w:eastAsia="楷体" w:hAnsi="楷体"/>
          <w:b/>
          <w:color w:val="000000"/>
          <w:sz w:val="32"/>
          <w:szCs w:val="32"/>
        </w:rPr>
      </w:pPr>
      <w:r w:rsidRPr="00884643">
        <w:rPr>
          <w:rFonts w:ascii="楷体" w:eastAsia="楷体" w:hAnsi="楷体" w:hint="eastAsia"/>
          <w:b/>
          <w:color w:val="000000"/>
          <w:sz w:val="32"/>
          <w:szCs w:val="32"/>
        </w:rPr>
        <w:t>三、监事会情况简介</w:t>
      </w:r>
    </w:p>
    <w:p w:rsidR="00D45989" w:rsidRPr="00884643" w:rsidRDefault="00D45989" w:rsidP="00D45989">
      <w:pPr>
        <w:adjustRightInd w:val="0"/>
        <w:snapToGrid w:val="0"/>
        <w:spacing w:line="600" w:lineRule="exact"/>
        <w:ind w:leftChars="71" w:left="149" w:firstLineChars="150" w:firstLine="482"/>
        <w:rPr>
          <w:rFonts w:ascii="仿宋_GB2312" w:eastAsia="仿宋_GB2312"/>
          <w:b/>
          <w:color w:val="000000"/>
          <w:sz w:val="32"/>
          <w:szCs w:val="32"/>
        </w:rPr>
      </w:pPr>
      <w:r w:rsidRPr="00884643">
        <w:rPr>
          <w:rFonts w:ascii="仿宋_GB2312" w:eastAsia="仿宋_GB2312" w:hint="eastAsia"/>
          <w:b/>
          <w:color w:val="000000"/>
          <w:sz w:val="32"/>
          <w:szCs w:val="32"/>
        </w:rPr>
        <w:t>（一）报告期内监事会的通知、召集、召开情况</w:t>
      </w:r>
    </w:p>
    <w:p w:rsidR="00D45989" w:rsidRPr="00045A44" w:rsidRDefault="00D45989" w:rsidP="00D45989">
      <w:pPr>
        <w:adjustRightInd w:val="0"/>
        <w:snapToGrid w:val="0"/>
        <w:spacing w:line="600" w:lineRule="exact"/>
        <w:ind w:firstLineChars="200" w:firstLine="640"/>
        <w:rPr>
          <w:rFonts w:ascii="仿宋_GB2312" w:eastAsia="仿宋_GB2312"/>
          <w:color w:val="000000"/>
          <w:sz w:val="32"/>
          <w:szCs w:val="32"/>
        </w:rPr>
      </w:pPr>
      <w:r w:rsidRPr="00045A44">
        <w:rPr>
          <w:rFonts w:ascii="仿宋_GB2312" w:eastAsia="仿宋_GB2312" w:hint="eastAsia"/>
          <w:color w:val="000000"/>
          <w:sz w:val="32"/>
          <w:szCs w:val="32"/>
        </w:rPr>
        <w:t>1. 2018年2月26日，召开了遂川农商银行第一届监事会第十七次会议。</w:t>
      </w:r>
    </w:p>
    <w:p w:rsidR="00D45989" w:rsidRPr="00045A44" w:rsidRDefault="00D45989" w:rsidP="00D45989">
      <w:pPr>
        <w:adjustRightInd w:val="0"/>
        <w:snapToGrid w:val="0"/>
        <w:spacing w:line="600" w:lineRule="exact"/>
        <w:ind w:firstLineChars="200" w:firstLine="640"/>
        <w:rPr>
          <w:rFonts w:ascii="仿宋_GB2312" w:eastAsia="仿宋_GB2312"/>
          <w:color w:val="000000"/>
          <w:sz w:val="32"/>
          <w:szCs w:val="32"/>
        </w:rPr>
      </w:pPr>
      <w:r w:rsidRPr="00045A44">
        <w:rPr>
          <w:rFonts w:ascii="仿宋_GB2312" w:eastAsia="仿宋_GB2312" w:hint="eastAsia"/>
          <w:color w:val="000000"/>
          <w:sz w:val="32"/>
          <w:szCs w:val="32"/>
        </w:rPr>
        <w:t>2. 2018年6月26日，召开了遂川农商银行第一届监事会第十八次会议。</w:t>
      </w:r>
    </w:p>
    <w:p w:rsidR="00D45989" w:rsidRPr="00045A44" w:rsidRDefault="00D45989" w:rsidP="00D45989">
      <w:pPr>
        <w:adjustRightInd w:val="0"/>
        <w:snapToGrid w:val="0"/>
        <w:spacing w:line="600" w:lineRule="exact"/>
        <w:ind w:firstLineChars="200" w:firstLine="640"/>
        <w:rPr>
          <w:rFonts w:ascii="仿宋_GB2312" w:eastAsia="仿宋_GB2312"/>
          <w:color w:val="000000"/>
          <w:sz w:val="32"/>
          <w:szCs w:val="32"/>
        </w:rPr>
      </w:pPr>
      <w:r w:rsidRPr="00045A44">
        <w:rPr>
          <w:rFonts w:ascii="仿宋_GB2312" w:eastAsia="仿宋_GB2312" w:hint="eastAsia"/>
          <w:color w:val="000000"/>
          <w:sz w:val="32"/>
          <w:szCs w:val="32"/>
        </w:rPr>
        <w:t>3. 2018年9月25日，召开了遂川农商银行第一届监事会第十九次会议。</w:t>
      </w:r>
    </w:p>
    <w:p w:rsidR="00D45989" w:rsidRPr="00045A44" w:rsidRDefault="00D45989" w:rsidP="00D45989">
      <w:pPr>
        <w:adjustRightInd w:val="0"/>
        <w:snapToGrid w:val="0"/>
        <w:spacing w:line="600" w:lineRule="exact"/>
        <w:ind w:firstLineChars="200" w:firstLine="640"/>
        <w:rPr>
          <w:rFonts w:ascii="仿宋_GB2312" w:eastAsia="仿宋_GB2312"/>
          <w:color w:val="000000"/>
          <w:sz w:val="32"/>
          <w:szCs w:val="32"/>
        </w:rPr>
      </w:pPr>
      <w:r w:rsidRPr="00045A44">
        <w:rPr>
          <w:rFonts w:ascii="仿宋_GB2312" w:eastAsia="仿宋_GB2312" w:hint="eastAsia"/>
          <w:color w:val="000000"/>
          <w:sz w:val="32"/>
          <w:szCs w:val="32"/>
        </w:rPr>
        <w:t>4. 2018年12月19日，召开了遂川农商银行第一届监事会第二十次会议。</w:t>
      </w:r>
    </w:p>
    <w:p w:rsidR="00D45989" w:rsidRPr="00045A44" w:rsidRDefault="00D45989" w:rsidP="00D45989">
      <w:pPr>
        <w:adjustRightInd w:val="0"/>
        <w:snapToGrid w:val="0"/>
        <w:spacing w:line="600" w:lineRule="exact"/>
        <w:ind w:firstLineChars="200" w:firstLine="640"/>
        <w:rPr>
          <w:rFonts w:ascii="仿宋_GB2312" w:eastAsia="仿宋_GB2312"/>
          <w:color w:val="000000"/>
          <w:sz w:val="32"/>
          <w:szCs w:val="32"/>
        </w:rPr>
      </w:pPr>
      <w:r w:rsidRPr="00045A44">
        <w:rPr>
          <w:rFonts w:ascii="仿宋_GB2312" w:eastAsia="仿宋_GB2312" w:hint="eastAsia"/>
          <w:color w:val="000000"/>
          <w:sz w:val="32"/>
          <w:szCs w:val="32"/>
        </w:rPr>
        <w:t>以上会议召开，事前均以会议通知形式将会议召开的时</w:t>
      </w:r>
      <w:r w:rsidRPr="00045A44">
        <w:rPr>
          <w:rFonts w:ascii="仿宋_GB2312" w:eastAsia="仿宋_GB2312" w:hint="eastAsia"/>
          <w:color w:val="000000"/>
          <w:sz w:val="32"/>
          <w:szCs w:val="32"/>
        </w:rPr>
        <w:lastRenderedPageBreak/>
        <w:t>间、地点、提交审议的事项予以告示，并说明了可委托其他监事代为出席和行使表决权，以及公司联系地址、联系人等事项。</w:t>
      </w:r>
    </w:p>
    <w:p w:rsidR="00D45989" w:rsidRPr="00884643" w:rsidRDefault="00D45989" w:rsidP="00D45989">
      <w:pPr>
        <w:adjustRightInd w:val="0"/>
        <w:snapToGrid w:val="0"/>
        <w:spacing w:line="600" w:lineRule="exact"/>
        <w:ind w:leftChars="71" w:left="149" w:firstLineChars="150" w:firstLine="482"/>
        <w:rPr>
          <w:rFonts w:ascii="仿宋_GB2312" w:eastAsia="仿宋_GB2312"/>
          <w:b/>
          <w:color w:val="000000"/>
          <w:sz w:val="32"/>
          <w:szCs w:val="32"/>
        </w:rPr>
      </w:pPr>
      <w:r w:rsidRPr="00884643">
        <w:rPr>
          <w:rFonts w:ascii="仿宋_GB2312" w:eastAsia="仿宋_GB2312" w:hint="eastAsia"/>
          <w:b/>
          <w:color w:val="000000"/>
          <w:sz w:val="32"/>
          <w:szCs w:val="32"/>
        </w:rPr>
        <w:t>（二）监事会审议的决议情况</w:t>
      </w:r>
    </w:p>
    <w:p w:rsidR="00D45989" w:rsidRPr="00045A44" w:rsidRDefault="00D45989" w:rsidP="00D45989">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Pr="00045A44">
        <w:rPr>
          <w:rFonts w:ascii="仿宋_GB2312" w:eastAsia="仿宋_GB2312" w:hAnsi="仿宋" w:hint="eastAsia"/>
          <w:sz w:val="32"/>
          <w:szCs w:val="32"/>
        </w:rPr>
        <w:t>2018年2月26日，遂川农商银行在五楼会议室召开了第一届监事会第十七次会议，会议审查审议《遂川农商银行深化整治市场乱象工作方案》，对2017年度监事履职和董事履职进行评价。</w:t>
      </w:r>
    </w:p>
    <w:p w:rsidR="00D45989" w:rsidRPr="00045A44" w:rsidRDefault="00D45989" w:rsidP="00D45989">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Pr="00045A44">
        <w:rPr>
          <w:rFonts w:ascii="仿宋_GB2312" w:eastAsia="仿宋_GB2312" w:hAnsi="仿宋" w:hint="eastAsia"/>
          <w:sz w:val="32"/>
          <w:szCs w:val="32"/>
        </w:rPr>
        <w:t>2018年6月26日，遂川农商银行在五楼会议室召开了第一届监事会第十八次会议，监事会审议《遂川农商银行二</w:t>
      </w:r>
      <w:r w:rsidRPr="00045A44">
        <w:rPr>
          <w:rFonts w:ascii="宋体" w:hAnsi="宋体" w:cs="宋体" w:hint="eastAsia"/>
          <w:sz w:val="32"/>
          <w:szCs w:val="32"/>
        </w:rPr>
        <w:t>〇</w:t>
      </w:r>
      <w:r w:rsidRPr="00045A44">
        <w:rPr>
          <w:rFonts w:ascii="仿宋_GB2312" w:eastAsia="仿宋_GB2312" w:hAnsi="仿宋_GB2312" w:cs="仿宋_GB2312" w:hint="eastAsia"/>
          <w:sz w:val="32"/>
          <w:szCs w:val="32"/>
        </w:rPr>
        <w:t>一七年监事会工作报告》和《遂川农商银行监事会关于对董事和高级管理人员履职情况及考核评价结果的报告》、《遂川农商银行监事会关于对职工监事的评价及非职工监事相互评价结果的报告》，以举手方式表决，全体监事全票通过。</w:t>
      </w:r>
    </w:p>
    <w:p w:rsidR="00D45989" w:rsidRPr="00045A44" w:rsidRDefault="00D45989" w:rsidP="00D45989">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045A44">
        <w:rPr>
          <w:rFonts w:ascii="仿宋_GB2312" w:eastAsia="仿宋_GB2312" w:hAnsi="仿宋" w:hint="eastAsia"/>
          <w:sz w:val="32"/>
          <w:szCs w:val="32"/>
        </w:rPr>
        <w:t>2018年9月25日，遂川农商银行在六楼会议室召开了第一届监事会第十九次会议，会议审查、审议了《遂川农商银行2018年上半年稽核监察部工作总结》和《遂川农商银行管理人员离任审计报告》；审议了遂川农商银行市场乱象整治工作开展情况。</w:t>
      </w:r>
    </w:p>
    <w:p w:rsidR="00D45989" w:rsidRPr="00045A44" w:rsidRDefault="00D45989" w:rsidP="00D45989">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Pr="00045A44">
        <w:rPr>
          <w:rFonts w:ascii="仿宋_GB2312" w:eastAsia="仿宋_GB2312" w:hAnsi="仿宋" w:hint="eastAsia"/>
          <w:sz w:val="32"/>
          <w:szCs w:val="32"/>
        </w:rPr>
        <w:t>2018年12月25日，遂川农商银行在十二楼会议室召开了第一届监事会第二十次会议。会议组织遂川农商银行董</w:t>
      </w:r>
      <w:r w:rsidRPr="00045A44">
        <w:rPr>
          <w:rFonts w:ascii="仿宋_GB2312" w:eastAsia="仿宋_GB2312" w:hAnsi="仿宋" w:hint="eastAsia"/>
          <w:sz w:val="32"/>
          <w:szCs w:val="32"/>
        </w:rPr>
        <w:lastRenderedPageBreak/>
        <w:t>事、监事及主要股东进行了培训，同时听取了稽核审计部2018年度工作总结，会议审查、审议了《遂川农商银行2018年度常规稽核工作报告》，并讨论通过了《2019年遂川农商银行审计工作计划》。</w:t>
      </w:r>
    </w:p>
    <w:p w:rsidR="00D45989" w:rsidRPr="005A684F" w:rsidRDefault="00D45989" w:rsidP="00D45989">
      <w:pPr>
        <w:adjustRightInd w:val="0"/>
        <w:snapToGrid w:val="0"/>
        <w:spacing w:line="600" w:lineRule="exact"/>
        <w:ind w:firstLineChars="200" w:firstLine="640"/>
        <w:rPr>
          <w:rFonts w:ascii="楷体" w:eastAsia="楷体" w:hAnsi="楷体"/>
          <w:b/>
          <w:color w:val="000000"/>
          <w:sz w:val="32"/>
          <w:szCs w:val="32"/>
        </w:rPr>
      </w:pPr>
      <w:r w:rsidRPr="005A684F">
        <w:rPr>
          <w:rFonts w:ascii="楷体" w:eastAsia="楷体" w:hAnsi="楷体" w:hint="eastAsia"/>
          <w:b/>
          <w:color w:val="000000"/>
          <w:sz w:val="32"/>
          <w:szCs w:val="32"/>
        </w:rPr>
        <w:t>四、独立董事工作情况</w:t>
      </w:r>
    </w:p>
    <w:p w:rsidR="00D45989" w:rsidRPr="0003748D" w:rsidRDefault="00D45989" w:rsidP="00D45989">
      <w:pPr>
        <w:adjustRightInd w:val="0"/>
        <w:snapToGrid w:val="0"/>
        <w:spacing w:line="600" w:lineRule="exact"/>
        <w:ind w:firstLineChars="200" w:firstLine="640"/>
        <w:rPr>
          <w:rFonts w:ascii="仿宋_GB2312" w:eastAsia="仿宋_GB2312"/>
          <w:sz w:val="32"/>
          <w:szCs w:val="32"/>
        </w:rPr>
      </w:pPr>
      <w:r w:rsidRPr="0003748D">
        <w:rPr>
          <w:rFonts w:ascii="仿宋_GB2312" w:eastAsia="仿宋_GB2312" w:hint="eastAsia"/>
          <w:sz w:val="32"/>
          <w:szCs w:val="32"/>
        </w:rPr>
        <w:t>2018年度，独立董事严格遵守《公司法》、《股份制商业银行独立董事、外部监事制度指引》等法律法规，以及公司章程、独立董事工作制度等相关规定，本着公正、公平、客观的态度，对需要独立董事发表意见的重大关联交易、利润分配方案、高级管理人员的聘任和解聘、董事与高级管理人员的薪酬等事项进行了认真审议并发表独立意见。同时，积极建言献策，为董事会科学决策，促进遂川农商银行健康发展起了推动作用。</w:t>
      </w:r>
    </w:p>
    <w:p w:rsidR="00D45989" w:rsidRPr="005A684F" w:rsidRDefault="00D45989" w:rsidP="00D45989">
      <w:pPr>
        <w:adjustRightInd w:val="0"/>
        <w:snapToGrid w:val="0"/>
        <w:spacing w:line="600" w:lineRule="exact"/>
        <w:ind w:firstLineChars="200" w:firstLine="643"/>
        <w:rPr>
          <w:rFonts w:ascii="仿宋_GB2312" w:eastAsia="仿宋_GB2312"/>
          <w:b/>
          <w:color w:val="000000"/>
          <w:sz w:val="32"/>
          <w:szCs w:val="32"/>
        </w:rPr>
      </w:pPr>
      <w:r w:rsidRPr="005A684F">
        <w:rPr>
          <w:rFonts w:ascii="仿宋_GB2312" w:eastAsia="仿宋_GB2312" w:hint="eastAsia"/>
          <w:b/>
          <w:color w:val="000000"/>
          <w:sz w:val="32"/>
          <w:szCs w:val="32"/>
        </w:rPr>
        <w:t>五、关联交易和重大关联交易情况</w:t>
      </w:r>
    </w:p>
    <w:p w:rsidR="00D45989" w:rsidRPr="0003748D" w:rsidRDefault="00D45989" w:rsidP="00D45989">
      <w:pPr>
        <w:adjustRightInd w:val="0"/>
        <w:snapToGrid w:val="0"/>
        <w:spacing w:line="600" w:lineRule="exact"/>
        <w:ind w:firstLineChars="200" w:firstLine="640"/>
        <w:rPr>
          <w:rFonts w:ascii="仿宋_GB2312" w:eastAsia="仿宋_GB2312"/>
          <w:b/>
          <w:color w:val="000000"/>
          <w:sz w:val="32"/>
          <w:szCs w:val="32"/>
        </w:rPr>
      </w:pPr>
      <w:r w:rsidRPr="0003748D">
        <w:rPr>
          <w:rFonts w:ascii="仿宋_GB2312" w:eastAsia="仿宋_GB2312" w:hint="eastAsia"/>
          <w:color w:val="000000"/>
          <w:sz w:val="32"/>
          <w:szCs w:val="32"/>
        </w:rPr>
        <w:t>本行在处理关联交易业务时，严格按照有关法律、法规以及本行的贷款程序和规定，操作方式及定价按照不优于对非关联方同类交易的条件办理，符合诚信、公允原则。</w:t>
      </w:r>
    </w:p>
    <w:p w:rsidR="00D45989" w:rsidRPr="009B635E" w:rsidRDefault="00D45989" w:rsidP="00D45989">
      <w:pPr>
        <w:adjustRightInd w:val="0"/>
        <w:snapToGrid w:val="0"/>
        <w:spacing w:line="600" w:lineRule="exact"/>
        <w:jc w:val="center"/>
        <w:rPr>
          <w:rFonts w:ascii="黑体" w:eastAsia="黑体" w:hAnsi="黑体"/>
          <w:bCs/>
          <w:sz w:val="32"/>
          <w:szCs w:val="32"/>
        </w:rPr>
      </w:pPr>
      <w:r w:rsidRPr="009B635E">
        <w:rPr>
          <w:rFonts w:ascii="黑体" w:eastAsia="黑体" w:hAnsi="黑体" w:hint="eastAsia"/>
          <w:bCs/>
          <w:sz w:val="32"/>
          <w:szCs w:val="32"/>
        </w:rPr>
        <w:t>第七节  公司主要业务情况</w:t>
      </w:r>
    </w:p>
    <w:p w:rsidR="00D45989" w:rsidRPr="009B635E" w:rsidRDefault="00D45989" w:rsidP="00D45989">
      <w:pPr>
        <w:ind w:firstLineChars="200" w:firstLine="640"/>
        <w:rPr>
          <w:rFonts w:ascii="楷体" w:eastAsia="楷体" w:hAnsi="楷体"/>
          <w:b/>
          <w:color w:val="000000"/>
          <w:sz w:val="32"/>
          <w:szCs w:val="32"/>
        </w:rPr>
      </w:pPr>
      <w:r w:rsidRPr="009B635E">
        <w:rPr>
          <w:rFonts w:ascii="楷体" w:eastAsia="楷体" w:hAnsi="楷体" w:hint="eastAsia"/>
          <w:b/>
          <w:color w:val="000000"/>
          <w:sz w:val="32"/>
          <w:szCs w:val="32"/>
        </w:rPr>
        <w:t>一、整体经营情况</w:t>
      </w:r>
    </w:p>
    <w:p w:rsidR="00D45989" w:rsidRPr="0003748D" w:rsidRDefault="00D45989" w:rsidP="00D45989">
      <w:pPr>
        <w:adjustRightInd w:val="0"/>
        <w:snapToGrid w:val="0"/>
        <w:spacing w:line="600" w:lineRule="exact"/>
        <w:ind w:firstLineChars="200" w:firstLine="643"/>
        <w:rPr>
          <w:rFonts w:ascii="仿宋_GB2312" w:eastAsia="仿宋_GB2312"/>
          <w:color w:val="000000"/>
          <w:sz w:val="32"/>
          <w:szCs w:val="32"/>
        </w:rPr>
      </w:pPr>
      <w:r w:rsidRPr="0003748D">
        <w:rPr>
          <w:rFonts w:ascii="仿宋_GB2312" w:eastAsia="仿宋_GB2312" w:hint="eastAsia"/>
          <w:b/>
          <w:color w:val="000000"/>
          <w:sz w:val="32"/>
          <w:szCs w:val="32"/>
        </w:rPr>
        <w:t>1、主营业务稳步增长。</w:t>
      </w:r>
      <w:r w:rsidRPr="0003748D">
        <w:rPr>
          <w:rFonts w:ascii="仿宋_GB2312" w:eastAsia="仿宋_GB2312" w:hint="eastAsia"/>
          <w:color w:val="000000"/>
          <w:sz w:val="32"/>
          <w:szCs w:val="32"/>
        </w:rPr>
        <w:t>至12月末，本行各项存款余额76.76亿元，比年初净增10.86亿元，增幅16.48%，完成全年计划的120.53%；</w:t>
      </w:r>
      <w:r w:rsidRPr="0003748D">
        <w:rPr>
          <w:rFonts w:ascii="仿宋_GB2312" w:eastAsia="仿宋_GB2312"/>
          <w:color w:val="000000"/>
          <w:sz w:val="32"/>
          <w:szCs w:val="32"/>
        </w:rPr>
        <w:t>各项贷款余额</w:t>
      </w:r>
      <w:r w:rsidRPr="0003748D">
        <w:rPr>
          <w:rFonts w:ascii="仿宋_GB2312" w:eastAsia="仿宋_GB2312" w:hint="eastAsia"/>
          <w:color w:val="000000"/>
          <w:sz w:val="32"/>
          <w:szCs w:val="32"/>
        </w:rPr>
        <w:t>49.62亿元</w:t>
      </w:r>
      <w:r w:rsidRPr="0003748D">
        <w:rPr>
          <w:rFonts w:ascii="仿宋_GB2312" w:eastAsia="仿宋_GB2312"/>
          <w:color w:val="000000"/>
          <w:sz w:val="32"/>
          <w:szCs w:val="32"/>
        </w:rPr>
        <w:t>，较年初净增</w:t>
      </w:r>
      <w:r w:rsidRPr="0003748D">
        <w:rPr>
          <w:rFonts w:ascii="仿宋_GB2312" w:eastAsia="仿宋_GB2312" w:hint="eastAsia"/>
          <w:color w:val="000000"/>
          <w:sz w:val="32"/>
          <w:szCs w:val="32"/>
        </w:rPr>
        <w:t>8.3亿元</w:t>
      </w:r>
      <w:r w:rsidRPr="0003748D">
        <w:rPr>
          <w:rFonts w:ascii="仿宋_GB2312" w:eastAsia="仿宋_GB2312"/>
          <w:color w:val="000000"/>
          <w:sz w:val="32"/>
          <w:szCs w:val="32"/>
        </w:rPr>
        <w:t>，</w:t>
      </w:r>
      <w:r w:rsidRPr="0003748D">
        <w:rPr>
          <w:rFonts w:ascii="仿宋_GB2312" w:eastAsia="仿宋_GB2312" w:hint="eastAsia"/>
          <w:color w:val="000000"/>
          <w:sz w:val="32"/>
          <w:szCs w:val="32"/>
        </w:rPr>
        <w:t>增幅20.1</w:t>
      </w:r>
      <w:r w:rsidRPr="0003748D">
        <w:rPr>
          <w:rFonts w:ascii="仿宋_GB2312" w:eastAsia="仿宋_GB2312"/>
          <w:color w:val="000000"/>
          <w:sz w:val="32"/>
          <w:szCs w:val="32"/>
        </w:rPr>
        <w:t>%</w:t>
      </w:r>
      <w:r w:rsidRPr="0003748D">
        <w:rPr>
          <w:rFonts w:ascii="仿宋_GB2312" w:eastAsia="仿宋_GB2312" w:hint="eastAsia"/>
          <w:color w:val="000000"/>
          <w:sz w:val="32"/>
          <w:szCs w:val="32"/>
        </w:rPr>
        <w:t>，完成全年计划的136.74%。新增存、</w:t>
      </w:r>
      <w:r w:rsidRPr="0003748D">
        <w:rPr>
          <w:rFonts w:ascii="仿宋_GB2312" w:eastAsia="仿宋_GB2312"/>
          <w:color w:val="000000"/>
          <w:sz w:val="32"/>
          <w:szCs w:val="32"/>
        </w:rPr>
        <w:lastRenderedPageBreak/>
        <w:t>贷款</w:t>
      </w:r>
      <w:r w:rsidRPr="0003748D">
        <w:rPr>
          <w:rFonts w:ascii="仿宋_GB2312" w:eastAsia="仿宋_GB2312" w:hint="eastAsia"/>
          <w:color w:val="000000"/>
          <w:sz w:val="32"/>
          <w:szCs w:val="32"/>
        </w:rPr>
        <w:t>分别</w:t>
      </w:r>
      <w:r w:rsidRPr="0003748D">
        <w:rPr>
          <w:rFonts w:ascii="仿宋_GB2312" w:eastAsia="仿宋_GB2312"/>
          <w:color w:val="000000"/>
          <w:sz w:val="32"/>
          <w:szCs w:val="32"/>
        </w:rPr>
        <w:t>占全县金融机构新增</w:t>
      </w:r>
      <w:r w:rsidRPr="0003748D">
        <w:rPr>
          <w:rFonts w:ascii="仿宋_GB2312" w:eastAsia="仿宋_GB2312" w:hint="eastAsia"/>
          <w:color w:val="000000"/>
          <w:sz w:val="32"/>
          <w:szCs w:val="32"/>
        </w:rPr>
        <w:t>市场</w:t>
      </w:r>
      <w:r w:rsidRPr="0003748D">
        <w:rPr>
          <w:rFonts w:ascii="仿宋_GB2312" w:eastAsia="仿宋_GB2312"/>
          <w:color w:val="000000"/>
          <w:sz w:val="32"/>
          <w:szCs w:val="32"/>
        </w:rPr>
        <w:t>份额的</w:t>
      </w:r>
      <w:r w:rsidRPr="0003748D">
        <w:rPr>
          <w:rFonts w:ascii="仿宋_GB2312" w:eastAsia="仿宋_GB2312" w:hint="eastAsia"/>
          <w:color w:val="000000"/>
          <w:sz w:val="32"/>
          <w:szCs w:val="32"/>
        </w:rPr>
        <w:t>58.04%和36.28</w:t>
      </w:r>
      <w:r w:rsidRPr="0003748D">
        <w:rPr>
          <w:rFonts w:ascii="仿宋_GB2312" w:eastAsia="仿宋_GB2312"/>
          <w:color w:val="000000"/>
          <w:sz w:val="32"/>
          <w:szCs w:val="32"/>
        </w:rPr>
        <w:t>%</w:t>
      </w:r>
      <w:r w:rsidRPr="0003748D">
        <w:rPr>
          <w:rFonts w:ascii="仿宋_GB2312" w:eastAsia="仿宋_GB2312" w:hint="eastAsia"/>
          <w:color w:val="000000"/>
          <w:sz w:val="32"/>
          <w:szCs w:val="32"/>
        </w:rPr>
        <w:t>。</w:t>
      </w:r>
    </w:p>
    <w:p w:rsidR="00D45989" w:rsidRPr="0003748D" w:rsidRDefault="00D45989" w:rsidP="00D45989">
      <w:pPr>
        <w:adjustRightInd w:val="0"/>
        <w:snapToGrid w:val="0"/>
        <w:spacing w:line="600" w:lineRule="exact"/>
        <w:ind w:firstLineChars="200" w:firstLine="643"/>
        <w:rPr>
          <w:rFonts w:ascii="仿宋_GB2312" w:eastAsia="仿宋_GB2312"/>
          <w:color w:val="000000"/>
          <w:sz w:val="32"/>
          <w:szCs w:val="32"/>
        </w:rPr>
      </w:pPr>
      <w:r w:rsidRPr="0003748D">
        <w:rPr>
          <w:rFonts w:ascii="仿宋_GB2312" w:eastAsia="仿宋_GB2312" w:hint="eastAsia"/>
          <w:b/>
          <w:color w:val="000000"/>
          <w:sz w:val="32"/>
          <w:szCs w:val="32"/>
        </w:rPr>
        <w:t>2、不良管控初见成效。</w:t>
      </w:r>
      <w:r w:rsidRPr="0003748D">
        <w:rPr>
          <w:rFonts w:ascii="仿宋_GB2312" w:eastAsia="仿宋_GB2312" w:hint="eastAsia"/>
          <w:color w:val="000000"/>
          <w:sz w:val="32"/>
          <w:szCs w:val="32"/>
        </w:rPr>
        <w:t>至12月末，本行表内不良贷款余额1.</w:t>
      </w:r>
      <w:r>
        <w:rPr>
          <w:rFonts w:ascii="仿宋_GB2312" w:eastAsia="仿宋_GB2312" w:hint="eastAsia"/>
          <w:color w:val="000000"/>
          <w:sz w:val="32"/>
          <w:szCs w:val="32"/>
        </w:rPr>
        <w:t>21</w:t>
      </w:r>
      <w:r w:rsidRPr="0003748D">
        <w:rPr>
          <w:rFonts w:ascii="仿宋_GB2312" w:eastAsia="仿宋_GB2312" w:hint="eastAsia"/>
          <w:color w:val="000000"/>
          <w:sz w:val="32"/>
          <w:szCs w:val="32"/>
        </w:rPr>
        <w:t>亿元，较年初下降了</w:t>
      </w:r>
      <w:r>
        <w:rPr>
          <w:rFonts w:ascii="仿宋_GB2312" w:eastAsia="仿宋_GB2312" w:hint="eastAsia"/>
          <w:color w:val="000000"/>
          <w:sz w:val="32"/>
          <w:szCs w:val="32"/>
        </w:rPr>
        <w:t>2345.72</w:t>
      </w:r>
      <w:r w:rsidRPr="0003748D">
        <w:rPr>
          <w:rFonts w:ascii="仿宋_GB2312" w:eastAsia="仿宋_GB2312" w:hint="eastAsia"/>
          <w:color w:val="000000"/>
          <w:sz w:val="32"/>
          <w:szCs w:val="32"/>
        </w:rPr>
        <w:t>万元；不良贷款率</w:t>
      </w:r>
      <w:r>
        <w:rPr>
          <w:rFonts w:ascii="仿宋_GB2312" w:eastAsia="仿宋_GB2312" w:hint="eastAsia"/>
          <w:color w:val="000000"/>
          <w:sz w:val="32"/>
          <w:szCs w:val="32"/>
        </w:rPr>
        <w:t>2.45</w:t>
      </w:r>
      <w:r w:rsidRPr="0003748D">
        <w:rPr>
          <w:rFonts w:ascii="仿宋_GB2312" w:eastAsia="仿宋_GB2312" w:hint="eastAsia"/>
          <w:color w:val="000000"/>
          <w:sz w:val="32"/>
          <w:szCs w:val="32"/>
        </w:rPr>
        <w:t>%，较年初下降1.</w:t>
      </w:r>
      <w:r>
        <w:rPr>
          <w:rFonts w:ascii="仿宋_GB2312" w:eastAsia="仿宋_GB2312" w:hint="eastAsia"/>
          <w:color w:val="000000"/>
          <w:sz w:val="32"/>
          <w:szCs w:val="32"/>
        </w:rPr>
        <w:t>06</w:t>
      </w:r>
      <w:r w:rsidRPr="0003748D">
        <w:rPr>
          <w:rFonts w:ascii="仿宋_GB2312" w:eastAsia="仿宋_GB2312" w:hint="eastAsia"/>
          <w:color w:val="000000"/>
          <w:sz w:val="32"/>
          <w:szCs w:val="32"/>
        </w:rPr>
        <w:t>个百分点；到期贷款收回率98.08%，较年初上升1.52个百分点；正常贷款利息收回率98.15%，较年初上升0.38个百分点；</w:t>
      </w:r>
      <w:proofErr w:type="gramStart"/>
      <w:r w:rsidRPr="0003748D">
        <w:rPr>
          <w:rFonts w:ascii="仿宋_GB2312" w:eastAsia="仿宋_GB2312" w:hint="eastAsia"/>
          <w:color w:val="000000"/>
          <w:sz w:val="32"/>
          <w:szCs w:val="32"/>
        </w:rPr>
        <w:t>逾贷比</w:t>
      </w:r>
      <w:proofErr w:type="gramEnd"/>
      <w:r w:rsidRPr="0003748D">
        <w:rPr>
          <w:rFonts w:ascii="仿宋_GB2312" w:eastAsia="仿宋_GB2312" w:hint="eastAsia"/>
          <w:color w:val="000000"/>
          <w:sz w:val="32"/>
          <w:szCs w:val="32"/>
        </w:rPr>
        <w:t>97.35%，较年初下降16.62个百分点。</w:t>
      </w:r>
    </w:p>
    <w:p w:rsidR="00D45989" w:rsidRPr="0003748D" w:rsidRDefault="00D45989" w:rsidP="00D45989">
      <w:pPr>
        <w:adjustRightInd w:val="0"/>
        <w:snapToGrid w:val="0"/>
        <w:spacing w:line="600" w:lineRule="exact"/>
        <w:ind w:firstLineChars="200" w:firstLine="643"/>
        <w:rPr>
          <w:rFonts w:ascii="仿宋_GB2312" w:eastAsia="仿宋_GB2312"/>
          <w:color w:val="000000"/>
          <w:sz w:val="32"/>
          <w:szCs w:val="32"/>
        </w:rPr>
      </w:pPr>
      <w:r w:rsidRPr="0003748D">
        <w:rPr>
          <w:rFonts w:ascii="仿宋_GB2312" w:eastAsia="仿宋_GB2312" w:hint="eastAsia"/>
          <w:b/>
          <w:color w:val="000000"/>
          <w:sz w:val="32"/>
          <w:szCs w:val="32"/>
        </w:rPr>
        <w:t>3、经营效益稳定提升。</w:t>
      </w:r>
      <w:r w:rsidRPr="0003748D">
        <w:rPr>
          <w:rFonts w:ascii="仿宋_GB2312" w:eastAsia="仿宋_GB2312" w:hint="eastAsia"/>
          <w:color w:val="000000"/>
          <w:sz w:val="32"/>
          <w:szCs w:val="32"/>
        </w:rPr>
        <w:t>至12月末，实现各项收入4.72亿元，同比增加</w:t>
      </w:r>
      <w:r>
        <w:rPr>
          <w:rFonts w:ascii="仿宋_GB2312" w:eastAsia="仿宋_GB2312" w:hint="eastAsia"/>
          <w:color w:val="000000"/>
          <w:sz w:val="32"/>
          <w:szCs w:val="32"/>
        </w:rPr>
        <w:t>6960.84</w:t>
      </w:r>
      <w:r w:rsidRPr="0003748D">
        <w:rPr>
          <w:rFonts w:ascii="仿宋_GB2312" w:eastAsia="仿宋_GB2312" w:hint="eastAsia"/>
          <w:color w:val="000000"/>
          <w:sz w:val="32"/>
          <w:szCs w:val="32"/>
        </w:rPr>
        <w:t>万元，增幅17.29%;实现拨备前利润2.48亿元，同比增加5758.77万元，增幅30.15％，完成全年计划的123.08%；实现净利润0.95亿元，同比增加1089.14万元，增幅12.96%，完成全年计划的110.</w:t>
      </w:r>
      <w:r>
        <w:rPr>
          <w:rFonts w:ascii="仿宋_GB2312" w:eastAsia="仿宋_GB2312" w:hint="eastAsia"/>
          <w:color w:val="000000"/>
          <w:sz w:val="32"/>
          <w:szCs w:val="32"/>
        </w:rPr>
        <w:t>37</w:t>
      </w:r>
      <w:r w:rsidRPr="0003748D">
        <w:rPr>
          <w:rFonts w:ascii="仿宋_GB2312" w:eastAsia="仿宋_GB2312" w:hint="eastAsia"/>
          <w:color w:val="000000"/>
          <w:sz w:val="32"/>
          <w:szCs w:val="32"/>
        </w:rPr>
        <w:t>%;成本收入比27.76％，同比下降4.56个百分点,低于省联社下达指标3.74个百分点。</w:t>
      </w:r>
    </w:p>
    <w:p w:rsidR="00D45989" w:rsidRPr="0003748D" w:rsidRDefault="00D45989" w:rsidP="00D45989">
      <w:pPr>
        <w:adjustRightInd w:val="0"/>
        <w:snapToGrid w:val="0"/>
        <w:spacing w:line="600" w:lineRule="exact"/>
        <w:ind w:firstLineChars="200" w:firstLine="643"/>
        <w:rPr>
          <w:rFonts w:ascii="仿宋_GB2312" w:eastAsia="仿宋_GB2312"/>
          <w:color w:val="000000"/>
          <w:sz w:val="32"/>
          <w:szCs w:val="32"/>
        </w:rPr>
      </w:pPr>
      <w:r w:rsidRPr="0003748D">
        <w:rPr>
          <w:rFonts w:ascii="仿宋_GB2312" w:eastAsia="仿宋_GB2312" w:hint="eastAsia"/>
          <w:b/>
          <w:color w:val="000000"/>
          <w:sz w:val="32"/>
          <w:szCs w:val="32"/>
        </w:rPr>
        <w:t>4、监管指标持续向好</w:t>
      </w:r>
      <w:r w:rsidRPr="0003748D">
        <w:rPr>
          <w:rFonts w:ascii="仿宋_GB2312" w:eastAsia="仿宋_GB2312" w:hint="eastAsia"/>
          <w:color w:val="000000"/>
          <w:sz w:val="32"/>
          <w:szCs w:val="32"/>
        </w:rPr>
        <w:t>。至12月末，贷款拨备覆盖率357.64%，较年初提高118.62个百分点；资本充足率及核心资本充足率分别为</w:t>
      </w:r>
      <w:r>
        <w:rPr>
          <w:rFonts w:ascii="仿宋_GB2312" w:eastAsia="仿宋_GB2312" w:hint="eastAsia"/>
          <w:color w:val="000000"/>
          <w:sz w:val="32"/>
          <w:szCs w:val="32"/>
        </w:rPr>
        <w:t>13.44</w:t>
      </w:r>
      <w:r w:rsidRPr="0003748D">
        <w:rPr>
          <w:rFonts w:ascii="仿宋_GB2312" w:eastAsia="仿宋_GB2312" w:hint="eastAsia"/>
          <w:color w:val="000000"/>
          <w:sz w:val="32"/>
          <w:szCs w:val="32"/>
        </w:rPr>
        <w:t>%和</w:t>
      </w:r>
      <w:r>
        <w:rPr>
          <w:rFonts w:ascii="仿宋_GB2312" w:eastAsia="仿宋_GB2312" w:hint="eastAsia"/>
          <w:color w:val="000000"/>
          <w:sz w:val="32"/>
          <w:szCs w:val="32"/>
        </w:rPr>
        <w:t>12.34</w:t>
      </w:r>
      <w:r w:rsidRPr="0003748D">
        <w:rPr>
          <w:rFonts w:ascii="仿宋_GB2312" w:eastAsia="仿宋_GB2312" w:hint="eastAsia"/>
          <w:color w:val="000000"/>
          <w:sz w:val="32"/>
          <w:szCs w:val="32"/>
        </w:rPr>
        <w:t>%，均较年初提高</w:t>
      </w:r>
      <w:r>
        <w:rPr>
          <w:rFonts w:ascii="仿宋_GB2312" w:eastAsia="仿宋_GB2312" w:hint="eastAsia"/>
          <w:color w:val="000000"/>
          <w:sz w:val="32"/>
          <w:szCs w:val="32"/>
        </w:rPr>
        <w:t>0.24</w:t>
      </w:r>
      <w:r w:rsidRPr="0003748D">
        <w:rPr>
          <w:rFonts w:ascii="仿宋_GB2312" w:eastAsia="仿宋_GB2312" w:hint="eastAsia"/>
          <w:color w:val="000000"/>
          <w:sz w:val="32"/>
          <w:szCs w:val="32"/>
        </w:rPr>
        <w:t>个百分点。</w:t>
      </w:r>
    </w:p>
    <w:p w:rsidR="00D45989" w:rsidRPr="0003748D" w:rsidRDefault="00D45989" w:rsidP="00D45989">
      <w:pPr>
        <w:adjustRightInd w:val="0"/>
        <w:snapToGrid w:val="0"/>
        <w:spacing w:line="600" w:lineRule="exact"/>
        <w:ind w:firstLineChars="200" w:firstLine="643"/>
        <w:rPr>
          <w:rFonts w:ascii="仿宋_GB2312" w:eastAsia="仿宋_GB2312"/>
          <w:color w:val="000000"/>
          <w:sz w:val="32"/>
          <w:szCs w:val="32"/>
        </w:rPr>
      </w:pPr>
      <w:r w:rsidRPr="0003748D">
        <w:rPr>
          <w:rFonts w:ascii="仿宋_GB2312" w:eastAsia="仿宋_GB2312" w:hint="eastAsia"/>
          <w:b/>
          <w:color w:val="000000"/>
          <w:sz w:val="32"/>
          <w:szCs w:val="32"/>
        </w:rPr>
        <w:t>5、支农支</w:t>
      </w:r>
      <w:proofErr w:type="gramStart"/>
      <w:r w:rsidRPr="0003748D">
        <w:rPr>
          <w:rFonts w:ascii="仿宋_GB2312" w:eastAsia="仿宋_GB2312" w:hint="eastAsia"/>
          <w:b/>
          <w:color w:val="000000"/>
          <w:sz w:val="32"/>
          <w:szCs w:val="32"/>
        </w:rPr>
        <w:t>小实现</w:t>
      </w:r>
      <w:proofErr w:type="gramEnd"/>
      <w:r w:rsidRPr="0003748D">
        <w:rPr>
          <w:rFonts w:ascii="仿宋_GB2312" w:eastAsia="仿宋_GB2312" w:hint="eastAsia"/>
          <w:b/>
          <w:color w:val="000000"/>
          <w:sz w:val="32"/>
          <w:szCs w:val="32"/>
        </w:rPr>
        <w:t>突破。</w:t>
      </w:r>
      <w:r w:rsidRPr="0003748D">
        <w:rPr>
          <w:rFonts w:ascii="仿宋_GB2312" w:eastAsia="仿宋_GB2312" w:hint="eastAsia"/>
          <w:color w:val="000000"/>
          <w:sz w:val="32"/>
          <w:szCs w:val="32"/>
        </w:rPr>
        <w:t>至12月末，本行授信户数4.7万户，授</w:t>
      </w:r>
      <w:proofErr w:type="gramStart"/>
      <w:r w:rsidRPr="0003748D">
        <w:rPr>
          <w:rFonts w:ascii="仿宋_GB2312" w:eastAsia="仿宋_GB2312" w:hint="eastAsia"/>
          <w:color w:val="000000"/>
          <w:sz w:val="32"/>
          <w:szCs w:val="32"/>
        </w:rPr>
        <w:t>信</w:t>
      </w:r>
      <w:r w:rsidRPr="0003748D">
        <w:rPr>
          <w:rFonts w:ascii="仿宋_GB2312" w:eastAsia="仿宋_GB2312"/>
          <w:color w:val="000000"/>
          <w:sz w:val="32"/>
          <w:szCs w:val="32"/>
        </w:rPr>
        <w:t>金额</w:t>
      </w:r>
      <w:proofErr w:type="gramEnd"/>
      <w:r w:rsidRPr="0003748D">
        <w:rPr>
          <w:rFonts w:ascii="仿宋_GB2312" w:eastAsia="仿宋_GB2312" w:hint="eastAsia"/>
          <w:color w:val="000000"/>
          <w:sz w:val="32"/>
          <w:szCs w:val="32"/>
        </w:rPr>
        <w:t>30.98亿元，</w:t>
      </w:r>
      <w:proofErr w:type="gramStart"/>
      <w:r w:rsidRPr="0003748D">
        <w:rPr>
          <w:rFonts w:ascii="仿宋_GB2312" w:eastAsia="仿宋_GB2312" w:hint="eastAsia"/>
          <w:color w:val="000000"/>
          <w:sz w:val="32"/>
          <w:szCs w:val="32"/>
        </w:rPr>
        <w:t>授信面达</w:t>
      </w:r>
      <w:proofErr w:type="gramEnd"/>
      <w:r w:rsidRPr="0003748D">
        <w:rPr>
          <w:rFonts w:ascii="仿宋_GB2312" w:eastAsia="仿宋_GB2312" w:hint="eastAsia"/>
          <w:color w:val="000000"/>
          <w:sz w:val="32"/>
          <w:szCs w:val="32"/>
        </w:rPr>
        <w:t>52.27%，提前3个月完成本行支农支小三年规划目标任务。用信户数2.79万户，用信面达59.31%，</w:t>
      </w:r>
      <w:r w:rsidRPr="0003748D">
        <w:rPr>
          <w:rFonts w:ascii="仿宋_GB2312" w:eastAsia="仿宋_GB2312"/>
          <w:color w:val="000000"/>
          <w:sz w:val="32"/>
          <w:szCs w:val="32"/>
        </w:rPr>
        <w:t>用信金额</w:t>
      </w:r>
      <w:r w:rsidRPr="0003748D">
        <w:rPr>
          <w:rFonts w:ascii="仿宋_GB2312" w:eastAsia="仿宋_GB2312" w:hint="eastAsia"/>
          <w:color w:val="000000"/>
          <w:sz w:val="32"/>
          <w:szCs w:val="32"/>
        </w:rPr>
        <w:t>18.79亿元。通过抓实抓小，500万元以下贷款余额占比82.72％，较年初提高9.04个百分点，</w:t>
      </w:r>
      <w:r w:rsidRPr="0003748D">
        <w:rPr>
          <w:rFonts w:ascii="仿宋_GB2312" w:eastAsia="仿宋_GB2312" w:hint="eastAsia"/>
          <w:color w:val="000000"/>
          <w:sz w:val="32"/>
          <w:szCs w:val="32"/>
        </w:rPr>
        <w:lastRenderedPageBreak/>
        <w:t>今年</w:t>
      </w:r>
      <w:proofErr w:type="gramStart"/>
      <w:r w:rsidRPr="0003748D">
        <w:rPr>
          <w:rFonts w:ascii="仿宋_GB2312" w:eastAsia="仿宋_GB2312" w:hint="eastAsia"/>
          <w:color w:val="000000"/>
          <w:sz w:val="32"/>
          <w:szCs w:val="32"/>
        </w:rPr>
        <w:t>新增占</w:t>
      </w:r>
      <w:proofErr w:type="gramEnd"/>
      <w:r w:rsidRPr="0003748D">
        <w:rPr>
          <w:rFonts w:ascii="仿宋_GB2312" w:eastAsia="仿宋_GB2312" w:hint="eastAsia"/>
          <w:color w:val="000000"/>
          <w:sz w:val="32"/>
          <w:szCs w:val="32"/>
        </w:rPr>
        <w:t>比120.7%；100万元以下贷款余额占比70.15％，较年初提高10.6个百分点，今年</w:t>
      </w:r>
      <w:proofErr w:type="gramStart"/>
      <w:r w:rsidRPr="0003748D">
        <w:rPr>
          <w:rFonts w:ascii="仿宋_GB2312" w:eastAsia="仿宋_GB2312" w:hint="eastAsia"/>
          <w:color w:val="000000"/>
          <w:sz w:val="32"/>
          <w:szCs w:val="32"/>
        </w:rPr>
        <w:t>新增占</w:t>
      </w:r>
      <w:proofErr w:type="gramEnd"/>
      <w:r w:rsidRPr="0003748D">
        <w:rPr>
          <w:rFonts w:ascii="仿宋_GB2312" w:eastAsia="仿宋_GB2312" w:hint="eastAsia"/>
          <w:color w:val="000000"/>
          <w:sz w:val="32"/>
          <w:szCs w:val="32"/>
        </w:rPr>
        <w:t>比122.86%，信贷结构得到进一步优化。</w:t>
      </w:r>
    </w:p>
    <w:p w:rsidR="00D45989" w:rsidRPr="00884643" w:rsidRDefault="00D45989" w:rsidP="00D45989">
      <w:pPr>
        <w:adjustRightInd w:val="0"/>
        <w:snapToGrid w:val="0"/>
        <w:spacing w:line="600" w:lineRule="exact"/>
        <w:ind w:firstLineChars="200" w:firstLine="640"/>
        <w:rPr>
          <w:rFonts w:ascii="楷体" w:eastAsia="楷体" w:hAnsi="楷体"/>
          <w:b/>
          <w:color w:val="000000"/>
          <w:sz w:val="32"/>
          <w:szCs w:val="32"/>
        </w:rPr>
      </w:pPr>
      <w:r w:rsidRPr="00884643">
        <w:rPr>
          <w:rFonts w:ascii="楷体" w:eastAsia="楷体" w:hAnsi="楷体" w:hint="eastAsia"/>
          <w:b/>
          <w:color w:val="000000"/>
          <w:sz w:val="32"/>
          <w:szCs w:val="32"/>
        </w:rPr>
        <w:t>二、本行面临的各种风险及相应对策</w:t>
      </w:r>
    </w:p>
    <w:p w:rsidR="00D45989" w:rsidRPr="00045A44" w:rsidRDefault="00D45989" w:rsidP="00D45989">
      <w:pPr>
        <w:adjustRightInd w:val="0"/>
        <w:snapToGrid w:val="0"/>
        <w:spacing w:line="600" w:lineRule="exact"/>
        <w:ind w:firstLineChars="200" w:firstLine="640"/>
        <w:rPr>
          <w:rStyle w:val="GB2312"/>
          <w:rFonts w:hAnsi="仿宋"/>
          <w:sz w:val="32"/>
          <w:szCs w:val="32"/>
        </w:rPr>
      </w:pPr>
      <w:r w:rsidRPr="00045A44">
        <w:rPr>
          <w:rStyle w:val="GB2312"/>
          <w:rFonts w:hAnsi="仿宋" w:hint="eastAsia"/>
          <w:sz w:val="32"/>
          <w:szCs w:val="32"/>
        </w:rPr>
        <w:t>本行始终坚持审慎经营、内控优先的原则，严格内部管理，持续推进规范化建设，较好地防范了各类风险的发生。报告期内，没有发生影响本行经营的情况，也未造成重大损失。</w:t>
      </w:r>
    </w:p>
    <w:p w:rsidR="00D45989" w:rsidRPr="0003748D" w:rsidRDefault="00D45989" w:rsidP="00D45989">
      <w:pPr>
        <w:adjustRightInd w:val="0"/>
        <w:snapToGrid w:val="0"/>
        <w:spacing w:line="600" w:lineRule="exact"/>
        <w:ind w:firstLineChars="200" w:firstLine="640"/>
        <w:rPr>
          <w:rFonts w:ascii="仿宋" w:eastAsia="仿宋" w:hAnsi="仿宋"/>
          <w:b/>
          <w:kern w:val="0"/>
          <w:sz w:val="32"/>
          <w:szCs w:val="32"/>
        </w:rPr>
      </w:pPr>
      <w:r w:rsidRPr="0003748D">
        <w:rPr>
          <w:rFonts w:ascii="仿宋" w:eastAsia="仿宋" w:hAnsi="仿宋" w:hint="eastAsia"/>
          <w:b/>
          <w:kern w:val="0"/>
          <w:sz w:val="32"/>
          <w:szCs w:val="32"/>
        </w:rPr>
        <w:t>（一）信用风险管控</w:t>
      </w:r>
    </w:p>
    <w:p w:rsidR="00D45989" w:rsidRPr="00045A44" w:rsidRDefault="00D45989" w:rsidP="00D45989">
      <w:pPr>
        <w:adjustRightInd w:val="0"/>
        <w:snapToGrid w:val="0"/>
        <w:spacing w:line="600" w:lineRule="exact"/>
        <w:ind w:firstLineChars="200" w:firstLine="640"/>
        <w:rPr>
          <w:rStyle w:val="GB2312"/>
          <w:rFonts w:hAnsi="仿宋"/>
          <w:sz w:val="32"/>
          <w:szCs w:val="32"/>
        </w:rPr>
      </w:pPr>
      <w:r w:rsidRPr="00045A44">
        <w:rPr>
          <w:rStyle w:val="GB2312"/>
          <w:rFonts w:hAnsi="仿宋" w:hint="eastAsia"/>
          <w:sz w:val="32"/>
        </w:rPr>
        <w:t>1.信贷资产风险管控。</w:t>
      </w:r>
      <w:r w:rsidRPr="00045A44">
        <w:rPr>
          <w:rStyle w:val="GB2312"/>
          <w:rFonts w:hAnsi="仿宋" w:hint="eastAsia"/>
          <w:sz w:val="32"/>
          <w:szCs w:val="32"/>
        </w:rPr>
        <w:t>本行建立了职能独立、相互制衡的信用风险管理体系,并执行信用风险识别、计量、监控、管理政策和流程,以确保本行风险和收益的均衡。2018年,通过制定和实施一系列制度、程序和方法,优化信贷系统、建立专业审贷会等授</w:t>
      </w:r>
      <w:proofErr w:type="gramStart"/>
      <w:r w:rsidRPr="00045A44">
        <w:rPr>
          <w:rStyle w:val="GB2312"/>
          <w:rFonts w:hAnsi="仿宋" w:hint="eastAsia"/>
          <w:sz w:val="32"/>
          <w:szCs w:val="32"/>
        </w:rPr>
        <w:t>信决策</w:t>
      </w:r>
      <w:proofErr w:type="gramEnd"/>
      <w:r w:rsidRPr="00045A44">
        <w:rPr>
          <w:rStyle w:val="GB2312"/>
          <w:rFonts w:hAnsi="仿宋" w:hint="eastAsia"/>
          <w:sz w:val="32"/>
          <w:szCs w:val="32"/>
        </w:rPr>
        <w:t>机制,持续对信用风险进行事前防范、事中控制、事后监督和纠正,有效地保证了信用风险管理体系的有效性，信用风险监管指标均达到银监部门监管要求。报告期末，本行不良贷款率为2.45%，单一集团客户授信集中度为5.22%，单一客户贷款集中度为5.22%，以上信用风险监管指标均达到银监部门监管要求。</w:t>
      </w:r>
    </w:p>
    <w:p w:rsidR="00D45989" w:rsidRPr="00045A44" w:rsidRDefault="00D45989" w:rsidP="00D45989">
      <w:pPr>
        <w:adjustRightInd w:val="0"/>
        <w:snapToGrid w:val="0"/>
        <w:spacing w:line="600" w:lineRule="exact"/>
        <w:ind w:firstLineChars="200" w:firstLine="640"/>
        <w:rPr>
          <w:rStyle w:val="GB2312"/>
          <w:rFonts w:hAnsi="仿宋"/>
          <w:sz w:val="32"/>
          <w:szCs w:val="32"/>
        </w:rPr>
      </w:pPr>
      <w:r w:rsidRPr="00045A44">
        <w:rPr>
          <w:rStyle w:val="GB2312"/>
          <w:rFonts w:hAnsi="仿宋" w:hint="eastAsia"/>
          <w:sz w:val="32"/>
          <w:szCs w:val="32"/>
        </w:rPr>
        <w:t>2.非信贷资产风险管控。截至2018年12月底，本行</w:t>
      </w:r>
      <w:proofErr w:type="gramStart"/>
      <w:r w:rsidRPr="00045A44">
        <w:rPr>
          <w:rStyle w:val="GB2312"/>
          <w:rFonts w:hAnsi="仿宋" w:hint="eastAsia"/>
          <w:sz w:val="32"/>
          <w:szCs w:val="32"/>
        </w:rPr>
        <w:t>本期非</w:t>
      </w:r>
      <w:proofErr w:type="gramEnd"/>
      <w:r w:rsidRPr="00045A44">
        <w:rPr>
          <w:rStyle w:val="GB2312"/>
          <w:rFonts w:hAnsi="仿宋" w:hint="eastAsia"/>
          <w:sz w:val="32"/>
          <w:szCs w:val="32"/>
        </w:rPr>
        <w:t>信贷资产余额为411090.01万元,形态为正常类非信贷资产,无不良非信贷资产余额。</w:t>
      </w:r>
    </w:p>
    <w:p w:rsidR="00D45989" w:rsidRPr="00045A44" w:rsidRDefault="00D45989" w:rsidP="00D45989">
      <w:pPr>
        <w:adjustRightInd w:val="0"/>
        <w:snapToGrid w:val="0"/>
        <w:spacing w:line="600" w:lineRule="exact"/>
        <w:ind w:firstLineChars="200" w:firstLine="640"/>
        <w:rPr>
          <w:rStyle w:val="GB2312"/>
          <w:rFonts w:hAnsi="仿宋"/>
          <w:sz w:val="32"/>
          <w:szCs w:val="32"/>
        </w:rPr>
      </w:pPr>
      <w:r w:rsidRPr="00045A44">
        <w:rPr>
          <w:rStyle w:val="GB2312"/>
          <w:rFonts w:hAnsi="仿宋" w:hint="eastAsia"/>
          <w:sz w:val="32"/>
          <w:szCs w:val="32"/>
        </w:rPr>
        <w:t>3.大额风险集中度风险管控。</w:t>
      </w:r>
      <w:r w:rsidRPr="00045A44">
        <w:rPr>
          <w:rStyle w:val="GB2312"/>
          <w:rFonts w:hAnsi="仿宋" w:hint="eastAsia"/>
          <w:sz w:val="32"/>
        </w:rPr>
        <w:t>截至2018年12月底，本</w:t>
      </w:r>
      <w:r w:rsidRPr="00045A44">
        <w:rPr>
          <w:rStyle w:val="GB2312"/>
          <w:rFonts w:hAnsi="仿宋" w:hint="eastAsia"/>
          <w:sz w:val="32"/>
        </w:rPr>
        <w:lastRenderedPageBreak/>
        <w:t>行前十大户贷款余额25792.37</w:t>
      </w:r>
      <w:r w:rsidRPr="00045A44">
        <w:rPr>
          <w:rStyle w:val="GB2312"/>
          <w:rFonts w:hAnsi="仿宋" w:hint="eastAsia"/>
          <w:sz w:val="32"/>
          <w:szCs w:val="32"/>
        </w:rPr>
        <w:t>万元，占资本净额的36.66%。前十大户有九户贷款为企业正常贷款，一户为个体工商户贷款，最大一户余额为3670万元。目前贷款企业生产经营正常，现金流量比较充足，具备偿还能力，风险性比较小。</w:t>
      </w:r>
    </w:p>
    <w:p w:rsidR="00D45989" w:rsidRPr="0003748D" w:rsidRDefault="00D45989" w:rsidP="00D45989">
      <w:pPr>
        <w:adjustRightInd w:val="0"/>
        <w:snapToGrid w:val="0"/>
        <w:spacing w:line="600" w:lineRule="exact"/>
        <w:ind w:firstLineChars="200" w:firstLine="640"/>
        <w:rPr>
          <w:rStyle w:val="GB2312"/>
          <w:rFonts w:ascii="仿宋" w:eastAsia="仿宋" w:hAnsi="仿宋"/>
          <w:sz w:val="32"/>
          <w:szCs w:val="32"/>
        </w:rPr>
      </w:pPr>
      <w:r w:rsidRPr="0003748D">
        <w:rPr>
          <w:rStyle w:val="GB2312"/>
          <w:rFonts w:ascii="仿宋" w:eastAsia="仿宋" w:hAnsi="仿宋" w:hint="eastAsia"/>
          <w:b/>
          <w:sz w:val="32"/>
          <w:szCs w:val="32"/>
        </w:rPr>
        <w:t>（二）流动性风险管控</w:t>
      </w:r>
    </w:p>
    <w:p w:rsidR="00D45989" w:rsidRPr="00045A44" w:rsidRDefault="00D45989" w:rsidP="00D45989">
      <w:pPr>
        <w:adjustRightInd w:val="0"/>
        <w:snapToGrid w:val="0"/>
        <w:spacing w:line="600" w:lineRule="exact"/>
        <w:ind w:firstLineChars="200" w:firstLine="640"/>
        <w:rPr>
          <w:rStyle w:val="GB2312"/>
          <w:rFonts w:hAnsi="仿宋"/>
          <w:sz w:val="32"/>
        </w:rPr>
      </w:pPr>
      <w:r w:rsidRPr="00045A44">
        <w:rPr>
          <w:rStyle w:val="GB2312"/>
          <w:rFonts w:hAnsi="仿宋" w:hint="eastAsia"/>
          <w:sz w:val="32"/>
        </w:rPr>
        <w:t>本行能认真执行《商业银行流动性风险管理办法（试行）》，提高流动性风险管理的专业性、前瞻性和精细化程度。一是合理安排资产负债结构，提高资金来源稳定性，依靠自身流动性资产储备确保日常流动性安全。二是定期开展流动性压力测试，并将压力测试结果充分应用到发展战略制定和风险管理中。三是制定了流动性应急预案，确保紧急情况下应急措施到位，未产生流动性风险。报告期末，本行存贷比例为64.64%，流动性比例为40.88%，人民币超额备付金率为27.69%。本行资产流动性较强，风险较小，存贷款比例控制在监管范围内。</w:t>
      </w:r>
    </w:p>
    <w:p w:rsidR="00D45989" w:rsidRPr="0003748D" w:rsidRDefault="00D45989" w:rsidP="00D45989">
      <w:pPr>
        <w:adjustRightInd w:val="0"/>
        <w:snapToGrid w:val="0"/>
        <w:spacing w:line="600" w:lineRule="exact"/>
        <w:ind w:firstLineChars="200" w:firstLine="640"/>
        <w:rPr>
          <w:rFonts w:ascii="仿宋" w:eastAsia="仿宋" w:hAnsi="仿宋"/>
          <w:b/>
          <w:sz w:val="32"/>
          <w:szCs w:val="32"/>
        </w:rPr>
      </w:pPr>
      <w:r w:rsidRPr="0003748D">
        <w:rPr>
          <w:rFonts w:ascii="仿宋" w:eastAsia="仿宋" w:hAnsi="仿宋" w:hint="eastAsia"/>
          <w:b/>
          <w:sz w:val="32"/>
          <w:szCs w:val="32"/>
        </w:rPr>
        <w:t>（三）市场风险管控</w:t>
      </w:r>
    </w:p>
    <w:p w:rsidR="00D45989" w:rsidRPr="00045A44" w:rsidRDefault="00D45989" w:rsidP="00D45989">
      <w:pPr>
        <w:adjustRightInd w:val="0"/>
        <w:snapToGrid w:val="0"/>
        <w:spacing w:line="600" w:lineRule="exact"/>
        <w:ind w:firstLineChars="200" w:firstLine="640"/>
        <w:rPr>
          <w:rStyle w:val="GB2312"/>
          <w:rFonts w:hAnsi="仿宋"/>
          <w:sz w:val="32"/>
        </w:rPr>
      </w:pPr>
      <w:r w:rsidRPr="00045A44">
        <w:rPr>
          <w:rStyle w:val="GB2312"/>
          <w:rFonts w:hAnsi="仿宋" w:hint="eastAsia"/>
          <w:sz w:val="32"/>
        </w:rPr>
        <w:t>包括利率风险、汇率风险（包括黄金）、股票价格风险和商品价格风险等。报告年度，本行尚没有开展外汇业务、黄金业务，市场风险主要表现在存贷款和债券利率风险上。2018年本行人民币存贷款利率已按市场进行科学的利率定价机制，加强市场风险管控，加强利率风险主动管理，增强固定利率贷款改善资产的利率敏感性，完善市场风险监控体系的建设；健全内部资金转移定价机制，切实完善利率风险</w:t>
      </w:r>
      <w:r w:rsidRPr="00045A44">
        <w:rPr>
          <w:rStyle w:val="GB2312"/>
          <w:rFonts w:hAnsi="仿宋" w:hint="eastAsia"/>
          <w:sz w:val="32"/>
        </w:rPr>
        <w:lastRenderedPageBreak/>
        <w:t>控制和缓释工具。</w:t>
      </w:r>
    </w:p>
    <w:p w:rsidR="00D45989" w:rsidRPr="0003748D" w:rsidRDefault="00D45989" w:rsidP="00D45989">
      <w:pPr>
        <w:adjustRightInd w:val="0"/>
        <w:snapToGrid w:val="0"/>
        <w:spacing w:line="600" w:lineRule="exact"/>
        <w:ind w:firstLineChars="200" w:firstLine="640"/>
        <w:rPr>
          <w:rFonts w:ascii="仿宋" w:eastAsia="仿宋" w:hAnsi="仿宋"/>
          <w:b/>
          <w:sz w:val="32"/>
          <w:szCs w:val="32"/>
        </w:rPr>
      </w:pPr>
      <w:r w:rsidRPr="0003748D">
        <w:rPr>
          <w:rFonts w:ascii="仿宋" w:eastAsia="仿宋" w:hAnsi="仿宋" w:hint="eastAsia"/>
          <w:b/>
          <w:sz w:val="32"/>
          <w:szCs w:val="32"/>
        </w:rPr>
        <w:t>（四）操作风险和声誉风险管控</w:t>
      </w:r>
    </w:p>
    <w:p w:rsidR="00D45989" w:rsidRPr="00045A44" w:rsidRDefault="00D45989" w:rsidP="00D45989">
      <w:pPr>
        <w:adjustRightInd w:val="0"/>
        <w:snapToGrid w:val="0"/>
        <w:spacing w:line="600" w:lineRule="exact"/>
        <w:ind w:firstLineChars="200" w:firstLine="640"/>
        <w:rPr>
          <w:rStyle w:val="GB2312"/>
          <w:rFonts w:hAnsi="仿宋"/>
          <w:sz w:val="32"/>
        </w:rPr>
      </w:pPr>
      <w:r w:rsidRPr="00045A44">
        <w:rPr>
          <w:rStyle w:val="GB2312"/>
          <w:rFonts w:hAnsi="仿宋" w:hint="eastAsia"/>
          <w:sz w:val="32"/>
        </w:rPr>
        <w:t>一是加强合</w:t>
      </w:r>
      <w:proofErr w:type="gramStart"/>
      <w:r w:rsidRPr="00045A44">
        <w:rPr>
          <w:rStyle w:val="GB2312"/>
          <w:rFonts w:hAnsi="仿宋" w:hint="eastAsia"/>
          <w:sz w:val="32"/>
        </w:rPr>
        <w:t>规</w:t>
      </w:r>
      <w:proofErr w:type="gramEnd"/>
      <w:r w:rsidRPr="00045A44">
        <w:rPr>
          <w:rStyle w:val="GB2312"/>
          <w:rFonts w:hAnsi="仿宋" w:hint="eastAsia"/>
          <w:sz w:val="32"/>
        </w:rPr>
        <w:t>监控，防范操作风险。建立了基于检查监督的合</w:t>
      </w:r>
      <w:proofErr w:type="gramStart"/>
      <w:r w:rsidRPr="00045A44">
        <w:rPr>
          <w:rStyle w:val="GB2312"/>
          <w:rFonts w:hAnsi="仿宋" w:hint="eastAsia"/>
          <w:sz w:val="32"/>
        </w:rPr>
        <w:t>规</w:t>
      </w:r>
      <w:proofErr w:type="gramEnd"/>
      <w:r w:rsidRPr="00045A44">
        <w:rPr>
          <w:rStyle w:val="GB2312"/>
          <w:rFonts w:hAnsi="仿宋" w:hint="eastAsia"/>
          <w:sz w:val="32"/>
        </w:rPr>
        <w:t>监控和评价机制，同时加强政治思想教育和员工行为排查，及时掌握和了解员工的思想动态，有效防范道德风险。二是强化流程控制，防范法律和合</w:t>
      </w:r>
      <w:proofErr w:type="gramStart"/>
      <w:r w:rsidRPr="00045A44">
        <w:rPr>
          <w:rStyle w:val="GB2312"/>
          <w:rFonts w:hAnsi="仿宋" w:hint="eastAsia"/>
          <w:sz w:val="32"/>
        </w:rPr>
        <w:t>规</w:t>
      </w:r>
      <w:proofErr w:type="gramEnd"/>
      <w:r w:rsidRPr="00045A44">
        <w:rPr>
          <w:rStyle w:val="GB2312"/>
          <w:rFonts w:hAnsi="仿宋" w:hint="eastAsia"/>
          <w:sz w:val="32"/>
        </w:rPr>
        <w:t>风险。强化规范操作，严格流程控制，增强员工合</w:t>
      </w:r>
      <w:proofErr w:type="gramStart"/>
      <w:r w:rsidRPr="00045A44">
        <w:rPr>
          <w:rStyle w:val="GB2312"/>
          <w:rFonts w:hAnsi="仿宋" w:hint="eastAsia"/>
          <w:sz w:val="32"/>
        </w:rPr>
        <w:t>规</w:t>
      </w:r>
      <w:proofErr w:type="gramEnd"/>
      <w:r w:rsidRPr="00045A44">
        <w:rPr>
          <w:rStyle w:val="GB2312"/>
          <w:rFonts w:hAnsi="仿宋" w:hint="eastAsia"/>
          <w:sz w:val="32"/>
        </w:rPr>
        <w:t>风险意识，加强制度执行力，防范操作风险和合</w:t>
      </w:r>
      <w:proofErr w:type="gramStart"/>
      <w:r w:rsidRPr="00045A44">
        <w:rPr>
          <w:rStyle w:val="GB2312"/>
          <w:rFonts w:hAnsi="仿宋" w:hint="eastAsia"/>
          <w:sz w:val="32"/>
        </w:rPr>
        <w:t>规</w:t>
      </w:r>
      <w:proofErr w:type="gramEnd"/>
      <w:r w:rsidRPr="00045A44">
        <w:rPr>
          <w:rStyle w:val="GB2312"/>
          <w:rFonts w:hAnsi="仿宋" w:hint="eastAsia"/>
          <w:sz w:val="32"/>
        </w:rPr>
        <w:t>风险的发生。梳理各项规章制度和流程，营造审慎合</w:t>
      </w:r>
      <w:proofErr w:type="gramStart"/>
      <w:r w:rsidRPr="00045A44">
        <w:rPr>
          <w:rStyle w:val="GB2312"/>
          <w:rFonts w:hAnsi="仿宋" w:hint="eastAsia"/>
          <w:sz w:val="32"/>
        </w:rPr>
        <w:t>规</w:t>
      </w:r>
      <w:proofErr w:type="gramEnd"/>
      <w:r w:rsidRPr="00045A44">
        <w:rPr>
          <w:rStyle w:val="GB2312"/>
          <w:rFonts w:hAnsi="仿宋" w:hint="eastAsia"/>
          <w:sz w:val="32"/>
        </w:rPr>
        <w:t>经营的氛围，努力构建合</w:t>
      </w:r>
      <w:proofErr w:type="gramStart"/>
      <w:r w:rsidRPr="00045A44">
        <w:rPr>
          <w:rStyle w:val="GB2312"/>
          <w:rFonts w:hAnsi="仿宋" w:hint="eastAsia"/>
          <w:sz w:val="32"/>
        </w:rPr>
        <w:t>规</w:t>
      </w:r>
      <w:proofErr w:type="gramEnd"/>
      <w:r w:rsidRPr="00045A44">
        <w:rPr>
          <w:rStyle w:val="GB2312"/>
          <w:rFonts w:hAnsi="仿宋" w:hint="eastAsia"/>
          <w:sz w:val="32"/>
        </w:rPr>
        <w:t>文化，形成风险管理和流程控制相关工作的长效机制。三是加强全面风险控制，切实防范声誉风险。做好信贷、理财、第三方代理等业务的规范销售、客户投诉处理、舆情跟踪监测等敏感度高的各相关环节工作；加强客户投诉管理，改进客户服务，建立声誉风险防范日常监测长效机制，维护良好的公众形象；做好</w:t>
      </w:r>
      <w:proofErr w:type="gramStart"/>
      <w:r w:rsidRPr="00045A44">
        <w:rPr>
          <w:rStyle w:val="GB2312"/>
          <w:rFonts w:hAnsi="仿宋" w:hint="eastAsia"/>
          <w:sz w:val="32"/>
        </w:rPr>
        <w:t>信访维稳关口</w:t>
      </w:r>
      <w:proofErr w:type="gramEnd"/>
      <w:r w:rsidRPr="00045A44">
        <w:rPr>
          <w:rStyle w:val="GB2312"/>
          <w:rFonts w:hAnsi="仿宋" w:hint="eastAsia"/>
          <w:sz w:val="32"/>
        </w:rPr>
        <w:t>前移，变被动接访为主动沟通交流，融洽关系，化解矛盾，防患于未然。</w:t>
      </w:r>
    </w:p>
    <w:p w:rsidR="00D45989" w:rsidRPr="0003748D" w:rsidRDefault="00D45989" w:rsidP="00D45989">
      <w:pPr>
        <w:adjustRightInd w:val="0"/>
        <w:snapToGrid w:val="0"/>
        <w:spacing w:line="600" w:lineRule="exact"/>
        <w:ind w:firstLineChars="200" w:firstLine="640"/>
        <w:rPr>
          <w:rFonts w:ascii="仿宋" w:eastAsia="仿宋" w:hAnsi="仿宋"/>
          <w:b/>
          <w:sz w:val="32"/>
          <w:szCs w:val="32"/>
        </w:rPr>
      </w:pPr>
      <w:r w:rsidRPr="0003748D">
        <w:rPr>
          <w:rFonts w:ascii="仿宋" w:eastAsia="仿宋" w:hAnsi="仿宋" w:hint="eastAsia"/>
          <w:b/>
          <w:sz w:val="32"/>
          <w:szCs w:val="32"/>
        </w:rPr>
        <w:t>（五）合</w:t>
      </w:r>
      <w:proofErr w:type="gramStart"/>
      <w:r w:rsidRPr="0003748D">
        <w:rPr>
          <w:rFonts w:ascii="仿宋" w:eastAsia="仿宋" w:hAnsi="仿宋" w:hint="eastAsia"/>
          <w:b/>
          <w:sz w:val="32"/>
          <w:szCs w:val="32"/>
        </w:rPr>
        <w:t>规</w:t>
      </w:r>
      <w:proofErr w:type="gramEnd"/>
      <w:r w:rsidRPr="0003748D">
        <w:rPr>
          <w:rFonts w:ascii="仿宋" w:eastAsia="仿宋" w:hAnsi="仿宋" w:hint="eastAsia"/>
          <w:b/>
          <w:sz w:val="32"/>
          <w:szCs w:val="32"/>
        </w:rPr>
        <w:t>风险管控</w:t>
      </w:r>
    </w:p>
    <w:p w:rsidR="00D45989" w:rsidRPr="00045A44" w:rsidRDefault="00D45989" w:rsidP="00D45989">
      <w:pPr>
        <w:adjustRightInd w:val="0"/>
        <w:snapToGrid w:val="0"/>
        <w:spacing w:line="600" w:lineRule="exact"/>
        <w:ind w:firstLineChars="200" w:firstLine="640"/>
        <w:rPr>
          <w:rStyle w:val="GB2312"/>
          <w:rFonts w:hAnsi="仿宋"/>
          <w:sz w:val="32"/>
        </w:rPr>
      </w:pPr>
      <w:r w:rsidRPr="00045A44">
        <w:rPr>
          <w:rStyle w:val="GB2312"/>
          <w:rFonts w:hAnsi="仿宋" w:hint="eastAsia"/>
          <w:sz w:val="32"/>
        </w:rPr>
        <w:t>本行建立了完整、有效的合</w:t>
      </w:r>
      <w:proofErr w:type="gramStart"/>
      <w:r w:rsidRPr="00045A44">
        <w:rPr>
          <w:rStyle w:val="GB2312"/>
          <w:rFonts w:hAnsi="仿宋" w:hint="eastAsia"/>
          <w:sz w:val="32"/>
        </w:rPr>
        <w:t>规</w:t>
      </w:r>
      <w:proofErr w:type="gramEnd"/>
      <w:r w:rsidRPr="00045A44">
        <w:rPr>
          <w:rStyle w:val="GB2312"/>
          <w:rFonts w:hAnsi="仿宋" w:hint="eastAsia"/>
          <w:sz w:val="32"/>
        </w:rPr>
        <w:t>风险管理体系,并通过不断改进和完善合</w:t>
      </w:r>
      <w:proofErr w:type="gramStart"/>
      <w:r w:rsidRPr="00045A44">
        <w:rPr>
          <w:rStyle w:val="GB2312"/>
          <w:rFonts w:hAnsi="仿宋" w:hint="eastAsia"/>
          <w:sz w:val="32"/>
        </w:rPr>
        <w:t>规</w:t>
      </w:r>
      <w:proofErr w:type="gramEnd"/>
      <w:r w:rsidRPr="00045A44">
        <w:rPr>
          <w:rStyle w:val="GB2312"/>
          <w:rFonts w:hAnsi="仿宋" w:hint="eastAsia"/>
          <w:sz w:val="32"/>
        </w:rPr>
        <w:t>风险管理工作机制、防控技术和管理程序,实现对合</w:t>
      </w:r>
      <w:proofErr w:type="gramStart"/>
      <w:r w:rsidRPr="00045A44">
        <w:rPr>
          <w:rStyle w:val="GB2312"/>
          <w:rFonts w:hAnsi="仿宋" w:hint="eastAsia"/>
          <w:sz w:val="32"/>
        </w:rPr>
        <w:t>规</w:t>
      </w:r>
      <w:proofErr w:type="gramEnd"/>
      <w:r w:rsidRPr="00045A44">
        <w:rPr>
          <w:rStyle w:val="GB2312"/>
          <w:rFonts w:hAnsi="仿宋" w:hint="eastAsia"/>
          <w:sz w:val="32"/>
        </w:rPr>
        <w:t>风险的有效识别与管控。一是对业务产品与制度流程开展全覆盖的法律合</w:t>
      </w:r>
      <w:proofErr w:type="gramStart"/>
      <w:r w:rsidRPr="00045A44">
        <w:rPr>
          <w:rStyle w:val="GB2312"/>
          <w:rFonts w:hAnsi="仿宋" w:hint="eastAsia"/>
          <w:sz w:val="32"/>
        </w:rPr>
        <w:t>规</w:t>
      </w:r>
      <w:proofErr w:type="gramEnd"/>
      <w:r w:rsidRPr="00045A44">
        <w:rPr>
          <w:rStyle w:val="GB2312"/>
          <w:rFonts w:hAnsi="仿宋" w:hint="eastAsia"/>
          <w:sz w:val="32"/>
        </w:rPr>
        <w:t>论证,认真识别、评估新产品新业务及重大项目的合</w:t>
      </w:r>
      <w:proofErr w:type="gramStart"/>
      <w:r w:rsidRPr="00045A44">
        <w:rPr>
          <w:rStyle w:val="GB2312"/>
          <w:rFonts w:hAnsi="仿宋" w:hint="eastAsia"/>
          <w:sz w:val="32"/>
        </w:rPr>
        <w:t>规</w:t>
      </w:r>
      <w:proofErr w:type="gramEnd"/>
      <w:r w:rsidRPr="00045A44">
        <w:rPr>
          <w:rStyle w:val="GB2312"/>
          <w:rFonts w:hAnsi="仿宋" w:hint="eastAsia"/>
          <w:sz w:val="32"/>
        </w:rPr>
        <w:t>风险。二是改进合</w:t>
      </w:r>
      <w:proofErr w:type="gramStart"/>
      <w:r w:rsidRPr="00045A44">
        <w:rPr>
          <w:rStyle w:val="GB2312"/>
          <w:rFonts w:hAnsi="仿宋" w:hint="eastAsia"/>
          <w:sz w:val="32"/>
        </w:rPr>
        <w:t>规</w:t>
      </w:r>
      <w:proofErr w:type="gramEnd"/>
      <w:r w:rsidRPr="00045A44">
        <w:rPr>
          <w:rStyle w:val="GB2312"/>
          <w:rFonts w:hAnsi="仿宋" w:hint="eastAsia"/>
          <w:sz w:val="32"/>
        </w:rPr>
        <w:t>风险管理功能,全面梳理合</w:t>
      </w:r>
      <w:proofErr w:type="gramStart"/>
      <w:r w:rsidRPr="00045A44">
        <w:rPr>
          <w:rStyle w:val="GB2312"/>
          <w:rFonts w:hAnsi="仿宋" w:hint="eastAsia"/>
          <w:sz w:val="32"/>
        </w:rPr>
        <w:t>规</w:t>
      </w:r>
      <w:proofErr w:type="gramEnd"/>
      <w:r w:rsidRPr="00045A44">
        <w:rPr>
          <w:rStyle w:val="GB2312"/>
          <w:rFonts w:hAnsi="仿宋" w:hint="eastAsia"/>
          <w:sz w:val="32"/>
        </w:rPr>
        <w:t>风险点,建立合</w:t>
      </w:r>
      <w:proofErr w:type="gramStart"/>
      <w:r w:rsidRPr="00045A44">
        <w:rPr>
          <w:rStyle w:val="GB2312"/>
          <w:rFonts w:hAnsi="仿宋" w:hint="eastAsia"/>
          <w:sz w:val="32"/>
        </w:rPr>
        <w:t>规</w:t>
      </w:r>
      <w:proofErr w:type="gramEnd"/>
      <w:r w:rsidRPr="00045A44">
        <w:rPr>
          <w:rStyle w:val="GB2312"/>
          <w:rFonts w:hAnsi="仿宋" w:hint="eastAsia"/>
          <w:sz w:val="32"/>
        </w:rPr>
        <w:t>风险监测与预警指标,尝试</w:t>
      </w:r>
      <w:r w:rsidRPr="00045A44">
        <w:rPr>
          <w:rStyle w:val="GB2312"/>
          <w:rFonts w:hAnsi="仿宋" w:hint="eastAsia"/>
          <w:sz w:val="32"/>
        </w:rPr>
        <w:lastRenderedPageBreak/>
        <w:t>开展合</w:t>
      </w:r>
      <w:proofErr w:type="gramStart"/>
      <w:r w:rsidRPr="00045A44">
        <w:rPr>
          <w:rStyle w:val="GB2312"/>
          <w:rFonts w:hAnsi="仿宋" w:hint="eastAsia"/>
          <w:sz w:val="32"/>
        </w:rPr>
        <w:t>规</w:t>
      </w:r>
      <w:proofErr w:type="gramEnd"/>
      <w:r w:rsidRPr="00045A44">
        <w:rPr>
          <w:rStyle w:val="GB2312"/>
          <w:rFonts w:hAnsi="仿宋" w:hint="eastAsia"/>
          <w:sz w:val="32"/>
        </w:rPr>
        <w:t>风险监测与预警工作,主动适应监管新趋势与监管达标需要。三是突出合</w:t>
      </w:r>
      <w:proofErr w:type="gramStart"/>
      <w:r w:rsidRPr="00045A44">
        <w:rPr>
          <w:rStyle w:val="GB2312"/>
          <w:rFonts w:hAnsi="仿宋" w:hint="eastAsia"/>
          <w:sz w:val="32"/>
        </w:rPr>
        <w:t>规</w:t>
      </w:r>
      <w:proofErr w:type="gramEnd"/>
      <w:r w:rsidRPr="00045A44">
        <w:rPr>
          <w:rStyle w:val="GB2312"/>
          <w:rFonts w:hAnsi="仿宋" w:hint="eastAsia"/>
          <w:sz w:val="32"/>
        </w:rPr>
        <w:t>风险管理的重点领域与环节,</w:t>
      </w:r>
      <w:proofErr w:type="gramStart"/>
      <w:r w:rsidRPr="00045A44">
        <w:rPr>
          <w:rStyle w:val="GB2312"/>
          <w:rFonts w:hAnsi="仿宋" w:hint="eastAsia"/>
          <w:sz w:val="32"/>
        </w:rPr>
        <w:t>推进第</w:t>
      </w:r>
      <w:proofErr w:type="gramEnd"/>
      <w:r w:rsidRPr="00045A44">
        <w:rPr>
          <w:rStyle w:val="GB2312"/>
          <w:rFonts w:hAnsi="仿宋" w:hint="eastAsia"/>
          <w:sz w:val="32"/>
        </w:rPr>
        <w:t>一道防线合</w:t>
      </w:r>
      <w:proofErr w:type="gramStart"/>
      <w:r w:rsidRPr="00045A44">
        <w:rPr>
          <w:rStyle w:val="GB2312"/>
          <w:rFonts w:hAnsi="仿宋" w:hint="eastAsia"/>
          <w:sz w:val="32"/>
        </w:rPr>
        <w:t>规</w:t>
      </w:r>
      <w:proofErr w:type="gramEnd"/>
      <w:r w:rsidRPr="00045A44">
        <w:rPr>
          <w:rStyle w:val="GB2312"/>
          <w:rFonts w:hAnsi="仿宋" w:hint="eastAsia"/>
          <w:sz w:val="32"/>
        </w:rPr>
        <w:t>风险识别与防控职能的充分发挥。四是积极开展合</w:t>
      </w:r>
      <w:proofErr w:type="gramStart"/>
      <w:r w:rsidRPr="00045A44">
        <w:rPr>
          <w:rStyle w:val="GB2312"/>
          <w:rFonts w:hAnsi="仿宋" w:hint="eastAsia"/>
          <w:sz w:val="32"/>
        </w:rPr>
        <w:t>规</w:t>
      </w:r>
      <w:proofErr w:type="gramEnd"/>
      <w:r w:rsidRPr="00045A44">
        <w:rPr>
          <w:rStyle w:val="GB2312"/>
          <w:rFonts w:hAnsi="仿宋" w:hint="eastAsia"/>
          <w:sz w:val="32"/>
        </w:rPr>
        <w:t>检查与测试,推进相关业务的合</w:t>
      </w:r>
      <w:proofErr w:type="gramStart"/>
      <w:r w:rsidRPr="00045A44">
        <w:rPr>
          <w:rStyle w:val="GB2312"/>
          <w:rFonts w:hAnsi="仿宋" w:hint="eastAsia"/>
          <w:sz w:val="32"/>
        </w:rPr>
        <w:t>规</w:t>
      </w:r>
      <w:proofErr w:type="gramEnd"/>
      <w:r w:rsidRPr="00045A44">
        <w:rPr>
          <w:rStyle w:val="GB2312"/>
          <w:rFonts w:hAnsi="仿宋" w:hint="eastAsia"/>
          <w:sz w:val="32"/>
        </w:rPr>
        <w:t>稳健开展。</w:t>
      </w:r>
    </w:p>
    <w:p w:rsidR="00D45989" w:rsidRPr="00045A44" w:rsidRDefault="00D45989" w:rsidP="00D45989">
      <w:pPr>
        <w:adjustRightInd w:val="0"/>
        <w:snapToGrid w:val="0"/>
        <w:spacing w:line="600" w:lineRule="exact"/>
        <w:jc w:val="center"/>
        <w:rPr>
          <w:rFonts w:ascii="黑体" w:eastAsia="黑体" w:hAnsi="黑体"/>
          <w:bCs/>
          <w:sz w:val="32"/>
          <w:szCs w:val="32"/>
        </w:rPr>
      </w:pPr>
      <w:r w:rsidRPr="00045A44">
        <w:rPr>
          <w:rFonts w:ascii="黑体" w:eastAsia="黑体" w:hAnsi="黑体" w:hint="eastAsia"/>
          <w:bCs/>
          <w:sz w:val="32"/>
          <w:szCs w:val="32"/>
        </w:rPr>
        <w:t>第八节  利润分配方案</w:t>
      </w:r>
    </w:p>
    <w:p w:rsidR="00D45989" w:rsidRPr="00045A44" w:rsidRDefault="00D45989" w:rsidP="00D45989">
      <w:pPr>
        <w:ind w:firstLineChars="200" w:firstLine="640"/>
        <w:rPr>
          <w:rStyle w:val="GB2312"/>
          <w:rFonts w:hAnsi="仿宋"/>
          <w:sz w:val="32"/>
          <w:szCs w:val="32"/>
        </w:rPr>
      </w:pPr>
      <w:r w:rsidRPr="00045A44">
        <w:rPr>
          <w:rStyle w:val="GB2312"/>
          <w:rFonts w:hAnsi="仿宋" w:hint="eastAsia"/>
          <w:sz w:val="32"/>
          <w:szCs w:val="32"/>
        </w:rPr>
        <w:t>经江西惠普会计事务所审计确认,2018年本行税后利润为9491.51万元，末分配前提取特种专项准备241.86万元,加年初未分配利润余额8368.53万元，可供分配利润为17618.18万元，其中提取法定盈余公积金949.15万元，提取一般风险准备2500万元。</w:t>
      </w:r>
    </w:p>
    <w:p w:rsidR="00D45989" w:rsidRPr="00045A44" w:rsidRDefault="00D45989" w:rsidP="00D45989">
      <w:pPr>
        <w:ind w:firstLineChars="200" w:firstLine="640"/>
        <w:rPr>
          <w:rStyle w:val="GB2312"/>
          <w:rFonts w:hAnsi="仿宋"/>
          <w:sz w:val="32"/>
          <w:szCs w:val="32"/>
        </w:rPr>
      </w:pPr>
      <w:r w:rsidRPr="00045A44">
        <w:rPr>
          <w:rStyle w:val="GB2312"/>
          <w:rFonts w:hAnsi="仿宋" w:hint="eastAsia"/>
          <w:sz w:val="32"/>
          <w:szCs w:val="32"/>
        </w:rPr>
        <w:t>以2018年末总股本23054.49万股为基数，采取转增股本与现金分红相结合的方式向股东分配红利。分红比例为：按照全体股东所持股份的8%转增股本，按照全体股东所持股份的3%进行现金分红，累计从净利润中分配红利2535.99万元。未分配完的利润11633.04万元结转以后年度使用。</w:t>
      </w:r>
    </w:p>
    <w:p w:rsidR="00D45989" w:rsidRPr="0003748D" w:rsidRDefault="00D45989" w:rsidP="00D45989">
      <w:pPr>
        <w:adjustRightInd w:val="0"/>
        <w:snapToGrid w:val="0"/>
        <w:spacing w:line="600" w:lineRule="exact"/>
        <w:ind w:firstLineChars="200" w:firstLine="640"/>
        <w:rPr>
          <w:rFonts w:ascii="仿宋" w:eastAsia="仿宋" w:hAnsi="仿宋"/>
          <w:b/>
          <w:sz w:val="32"/>
          <w:szCs w:val="32"/>
        </w:rPr>
      </w:pPr>
    </w:p>
    <w:p w:rsidR="00D45989" w:rsidRPr="00884643" w:rsidRDefault="00D45989" w:rsidP="00D45989">
      <w:pPr>
        <w:adjustRightInd w:val="0"/>
        <w:snapToGrid w:val="0"/>
        <w:spacing w:line="600" w:lineRule="exact"/>
        <w:jc w:val="center"/>
        <w:rPr>
          <w:rFonts w:ascii="黑体" w:eastAsia="黑体" w:hAnsi="黑体"/>
          <w:bCs/>
          <w:sz w:val="32"/>
          <w:szCs w:val="32"/>
        </w:rPr>
      </w:pPr>
      <w:r w:rsidRPr="00884643">
        <w:rPr>
          <w:rFonts w:ascii="黑体" w:eastAsia="黑体" w:hAnsi="黑体" w:hint="eastAsia"/>
          <w:bCs/>
          <w:sz w:val="32"/>
          <w:szCs w:val="32"/>
        </w:rPr>
        <w:t>第九节  重要事项</w:t>
      </w:r>
    </w:p>
    <w:p w:rsidR="00D45989" w:rsidRPr="00282DE5" w:rsidRDefault="00D45989" w:rsidP="00D45989">
      <w:pPr>
        <w:adjustRightInd w:val="0"/>
        <w:snapToGrid w:val="0"/>
        <w:spacing w:line="600" w:lineRule="exact"/>
        <w:ind w:firstLineChars="200" w:firstLine="640"/>
        <w:jc w:val="left"/>
        <w:rPr>
          <w:rFonts w:ascii="仿宋_GB2312" w:eastAsia="仿宋_GB2312"/>
          <w:b/>
          <w:bCs/>
          <w:sz w:val="32"/>
          <w:szCs w:val="32"/>
        </w:rPr>
      </w:pPr>
      <w:r w:rsidRPr="00282DE5">
        <w:rPr>
          <w:rFonts w:ascii="仿宋_GB2312" w:eastAsia="仿宋_GB2312" w:hint="eastAsia"/>
          <w:color w:val="000000"/>
          <w:sz w:val="32"/>
          <w:szCs w:val="32"/>
        </w:rPr>
        <w:t>一、报告期内，无重大诉讼、仲裁事项。</w:t>
      </w:r>
    </w:p>
    <w:p w:rsidR="00D45989" w:rsidRPr="00282DE5" w:rsidRDefault="00D45989" w:rsidP="00D45989">
      <w:pPr>
        <w:adjustRightInd w:val="0"/>
        <w:snapToGrid w:val="0"/>
        <w:spacing w:line="600" w:lineRule="exact"/>
        <w:ind w:firstLineChars="200" w:firstLine="640"/>
        <w:jc w:val="left"/>
        <w:rPr>
          <w:rFonts w:ascii="仿宋_GB2312" w:eastAsia="仿宋_GB2312"/>
          <w:b/>
          <w:bCs/>
          <w:sz w:val="32"/>
          <w:szCs w:val="32"/>
        </w:rPr>
      </w:pPr>
      <w:r w:rsidRPr="00282DE5">
        <w:rPr>
          <w:rFonts w:ascii="仿宋_GB2312" w:eastAsia="仿宋_GB2312" w:hint="eastAsia"/>
          <w:color w:val="000000"/>
          <w:sz w:val="32"/>
          <w:szCs w:val="32"/>
        </w:rPr>
        <w:t>二、报告期内，未发生重大案件、重大差错等情况。</w:t>
      </w:r>
    </w:p>
    <w:p w:rsidR="00D45989" w:rsidRPr="00282DE5" w:rsidRDefault="00D45989" w:rsidP="00D45989">
      <w:pPr>
        <w:adjustRightInd w:val="0"/>
        <w:snapToGrid w:val="0"/>
        <w:spacing w:line="600" w:lineRule="exact"/>
        <w:ind w:firstLineChars="200" w:firstLine="640"/>
        <w:jc w:val="left"/>
        <w:rPr>
          <w:rFonts w:ascii="仿宋_GB2312" w:eastAsia="仿宋_GB2312"/>
          <w:color w:val="000000"/>
          <w:sz w:val="32"/>
          <w:szCs w:val="32"/>
        </w:rPr>
      </w:pPr>
      <w:r w:rsidRPr="00282DE5">
        <w:rPr>
          <w:rFonts w:ascii="仿宋_GB2312" w:eastAsia="仿宋_GB2312" w:hint="eastAsia"/>
          <w:color w:val="000000"/>
          <w:sz w:val="32"/>
          <w:szCs w:val="32"/>
        </w:rPr>
        <w:t>三、报告期内本公司各项业务合同履行情况正常，无重大合同纠纷发生。报告期内，除上述信息外，本行有必要让公众了解的重要信息，均已按《 商业银行信息披露办法》 披</w:t>
      </w:r>
      <w:r w:rsidRPr="00282DE5">
        <w:rPr>
          <w:rFonts w:ascii="仿宋_GB2312" w:eastAsia="仿宋_GB2312" w:hint="eastAsia"/>
          <w:color w:val="000000"/>
          <w:sz w:val="32"/>
          <w:szCs w:val="32"/>
        </w:rPr>
        <w:lastRenderedPageBreak/>
        <w:t>露。</w:t>
      </w:r>
    </w:p>
    <w:p w:rsidR="00D45989" w:rsidRPr="00884643" w:rsidRDefault="00D45989" w:rsidP="00D45989">
      <w:pPr>
        <w:adjustRightInd w:val="0"/>
        <w:snapToGrid w:val="0"/>
        <w:spacing w:line="600" w:lineRule="exact"/>
        <w:jc w:val="center"/>
        <w:rPr>
          <w:rFonts w:ascii="黑体" w:eastAsia="黑体" w:hAnsi="黑体"/>
          <w:bCs/>
          <w:sz w:val="32"/>
          <w:szCs w:val="32"/>
        </w:rPr>
      </w:pPr>
      <w:r w:rsidRPr="00884643">
        <w:rPr>
          <w:rFonts w:ascii="黑体" w:eastAsia="黑体" w:hAnsi="黑体" w:hint="eastAsia"/>
          <w:bCs/>
          <w:sz w:val="32"/>
          <w:szCs w:val="32"/>
        </w:rPr>
        <w:t>第十节  财务报告</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一、审计报告</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二、财务报表</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三、公司主要会计政策、会计估计和会计差错</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（一）会计年度：本公司会计年度自公历1月1日起至12月31日止。</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（二）记账本位币：本公司的记账本位币为人民币。</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（三）主要会计政策、会计估计和核算方法：</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（1） 《 企业会计准则》 及其相关规定；</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（2）江西省农村信用社联合社印发的《江西省农商银行2016年度会计决算工作指导意见》；</w:t>
      </w:r>
    </w:p>
    <w:p w:rsidR="00D45989" w:rsidRPr="00282DE5" w:rsidRDefault="00D45989" w:rsidP="00D45989">
      <w:pPr>
        <w:adjustRightInd w:val="0"/>
        <w:snapToGrid w:val="0"/>
        <w:spacing w:line="600" w:lineRule="exact"/>
        <w:ind w:firstLineChars="200" w:firstLine="640"/>
        <w:rPr>
          <w:rFonts w:ascii="仿宋_GB2312" w:eastAsia="仿宋_GB2312"/>
          <w:color w:val="000000"/>
          <w:sz w:val="32"/>
          <w:szCs w:val="32"/>
        </w:rPr>
      </w:pPr>
      <w:r w:rsidRPr="00282DE5">
        <w:rPr>
          <w:rFonts w:ascii="仿宋_GB2312" w:eastAsia="仿宋_GB2312" w:hint="eastAsia"/>
          <w:color w:val="000000"/>
          <w:sz w:val="32"/>
          <w:szCs w:val="32"/>
        </w:rPr>
        <w:t xml:space="preserve">（3）中国银行业监督管理委员会颁布的 </w:t>
      </w:r>
      <w:proofErr w:type="gramStart"/>
      <w:r w:rsidRPr="00282DE5">
        <w:rPr>
          <w:rFonts w:ascii="仿宋_GB2312" w:eastAsia="仿宋_GB2312" w:hint="eastAsia"/>
          <w:color w:val="000000"/>
          <w:sz w:val="32"/>
          <w:szCs w:val="32"/>
        </w:rPr>
        <w:t>《</w:t>
      </w:r>
      <w:proofErr w:type="gramEnd"/>
      <w:r w:rsidRPr="00282DE5">
        <w:rPr>
          <w:rFonts w:ascii="仿宋_GB2312" w:eastAsia="仿宋_GB2312" w:hint="eastAsia"/>
          <w:color w:val="000000"/>
          <w:sz w:val="32"/>
          <w:szCs w:val="32"/>
        </w:rPr>
        <w:t>全国农村合作金融机构会计科目及会计报表示范模板的通知。</w:t>
      </w:r>
    </w:p>
    <w:p w:rsidR="00D45989" w:rsidRDefault="00D45989" w:rsidP="00D45989">
      <w:pPr>
        <w:adjustRightInd w:val="0"/>
        <w:snapToGrid w:val="0"/>
        <w:spacing w:line="600" w:lineRule="exact"/>
        <w:ind w:firstLineChars="350" w:firstLine="1120"/>
        <w:rPr>
          <w:rFonts w:ascii="仿宋_GB2312" w:eastAsia="仿宋_GB2312"/>
          <w:color w:val="000000"/>
          <w:sz w:val="32"/>
          <w:szCs w:val="32"/>
        </w:rPr>
      </w:pPr>
      <w:r w:rsidRPr="00282DE5">
        <w:rPr>
          <w:rFonts w:ascii="仿宋_GB2312" w:eastAsia="仿宋_GB2312" w:hint="eastAsia"/>
          <w:color w:val="000000"/>
          <w:sz w:val="32"/>
          <w:szCs w:val="32"/>
        </w:rPr>
        <w:t>四、报告期内本公司没有重大会计差错更正。</w:t>
      </w:r>
    </w:p>
    <w:p w:rsidR="00D45989" w:rsidRDefault="00D45989" w:rsidP="00D45989">
      <w:pPr>
        <w:adjustRightInd w:val="0"/>
        <w:snapToGrid w:val="0"/>
        <w:spacing w:line="600" w:lineRule="exact"/>
        <w:ind w:firstLineChars="350" w:firstLine="1120"/>
        <w:rPr>
          <w:rFonts w:ascii="仿宋_GB2312" w:eastAsia="仿宋_GB2312"/>
          <w:color w:val="000000"/>
          <w:sz w:val="32"/>
          <w:szCs w:val="32"/>
        </w:rPr>
      </w:pPr>
    </w:p>
    <w:p w:rsidR="00E871FD" w:rsidRPr="00D45989" w:rsidRDefault="00E871FD"/>
    <w:sectPr w:rsidR="00E871FD" w:rsidRPr="00D45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DC" w:rsidRDefault="00C03BDC" w:rsidP="00D45989">
      <w:r>
        <w:separator/>
      </w:r>
    </w:p>
  </w:endnote>
  <w:endnote w:type="continuationSeparator" w:id="0">
    <w:p w:rsidR="00C03BDC" w:rsidRDefault="00C03BDC" w:rsidP="00D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DC" w:rsidRDefault="00C03BDC" w:rsidP="00D45989">
      <w:r>
        <w:separator/>
      </w:r>
    </w:p>
  </w:footnote>
  <w:footnote w:type="continuationSeparator" w:id="0">
    <w:p w:rsidR="00C03BDC" w:rsidRDefault="00C03BDC" w:rsidP="00D4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67"/>
    <w:rsid w:val="008C7E67"/>
    <w:rsid w:val="009D5898"/>
    <w:rsid w:val="00C03BDC"/>
    <w:rsid w:val="00D45989"/>
    <w:rsid w:val="00E871FD"/>
    <w:rsid w:val="00F4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9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989"/>
    <w:rPr>
      <w:sz w:val="18"/>
      <w:szCs w:val="18"/>
    </w:rPr>
  </w:style>
  <w:style w:type="paragraph" w:styleId="a4">
    <w:name w:val="footer"/>
    <w:basedOn w:val="a"/>
    <w:link w:val="Char0"/>
    <w:uiPriority w:val="99"/>
    <w:unhideWhenUsed/>
    <w:rsid w:val="00D459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989"/>
    <w:rPr>
      <w:sz w:val="18"/>
      <w:szCs w:val="18"/>
    </w:rPr>
  </w:style>
  <w:style w:type="paragraph" w:styleId="a5">
    <w:name w:val="Normal (Web)"/>
    <w:basedOn w:val="a"/>
    <w:uiPriority w:val="99"/>
    <w:unhideWhenUsed/>
    <w:rsid w:val="00D45989"/>
    <w:pPr>
      <w:jc w:val="left"/>
    </w:pPr>
    <w:rPr>
      <w:kern w:val="0"/>
      <w:sz w:val="24"/>
    </w:rPr>
  </w:style>
  <w:style w:type="character" w:customStyle="1" w:styleId="GB2312">
    <w:name w:val="样式 仿宋_GB2312 小三"/>
    <w:rsid w:val="00D45989"/>
    <w:rPr>
      <w:rFonts w:ascii="仿宋_GB2312" w:eastAsia="仿宋_GB2312" w:hAnsi="仿宋_GB2312"/>
      <w:kern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9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989"/>
    <w:rPr>
      <w:sz w:val="18"/>
      <w:szCs w:val="18"/>
    </w:rPr>
  </w:style>
  <w:style w:type="paragraph" w:styleId="a4">
    <w:name w:val="footer"/>
    <w:basedOn w:val="a"/>
    <w:link w:val="Char0"/>
    <w:uiPriority w:val="99"/>
    <w:unhideWhenUsed/>
    <w:rsid w:val="00D459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989"/>
    <w:rPr>
      <w:sz w:val="18"/>
      <w:szCs w:val="18"/>
    </w:rPr>
  </w:style>
  <w:style w:type="paragraph" w:styleId="a5">
    <w:name w:val="Normal (Web)"/>
    <w:basedOn w:val="a"/>
    <w:uiPriority w:val="99"/>
    <w:unhideWhenUsed/>
    <w:rsid w:val="00D45989"/>
    <w:pPr>
      <w:jc w:val="left"/>
    </w:pPr>
    <w:rPr>
      <w:kern w:val="0"/>
      <w:sz w:val="24"/>
    </w:rPr>
  </w:style>
  <w:style w:type="character" w:customStyle="1" w:styleId="GB2312">
    <w:name w:val="样式 仿宋_GB2312 小三"/>
    <w:rsid w:val="00D45989"/>
    <w:rPr>
      <w:rFonts w:ascii="仿宋_GB2312" w:eastAsia="仿宋_GB2312" w:hAnsi="仿宋_GB2312"/>
      <w:kern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1421</Words>
  <Characters>8105</Characters>
  <Application>Microsoft Office Word</Application>
  <DocSecurity>0</DocSecurity>
  <Lines>67</Lines>
  <Paragraphs>19</Paragraphs>
  <ScaleCrop>false</ScaleCrop>
  <Company>JXCBS</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3</cp:revision>
  <dcterms:created xsi:type="dcterms:W3CDTF">2019-06-21T01:13:00Z</dcterms:created>
  <dcterms:modified xsi:type="dcterms:W3CDTF">2019-06-21T01:16:00Z</dcterms:modified>
</cp:coreProperties>
</file>