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right="0" w:rightChars="0"/>
        <w:jc w:val="center"/>
        <w:textAlignment w:val="auto"/>
        <w:outlineLvl w:val="9"/>
        <w:rPr>
          <w:rFonts w:hint="eastAsia" w:ascii="仿宋_GB2312" w:hAnsi="仿宋_GB2312" w:eastAsia="方正大标宋简体" w:cs="仿宋_GB2312"/>
          <w:color w:val="auto"/>
          <w:sz w:val="32"/>
          <w:szCs w:val="32"/>
          <w:highlight w:val="none"/>
          <w:lang w:eastAsia="zh-CN"/>
        </w:rPr>
      </w:pPr>
      <w:r>
        <w:rPr>
          <w:rFonts w:hint="eastAsia" w:ascii="方正大标宋简体" w:hAnsi="宋体" w:eastAsia="方正大标宋简体" w:cs="宋体"/>
          <w:bCs/>
          <w:color w:val="auto"/>
          <w:kern w:val="0"/>
          <w:sz w:val="44"/>
          <w:szCs w:val="44"/>
          <w:highlight w:val="none"/>
          <w:lang w:eastAsia="zh-CN"/>
        </w:rPr>
        <w:t>寻乌</w:t>
      </w:r>
      <w:r>
        <w:rPr>
          <w:rFonts w:hint="eastAsia" w:ascii="方正大标宋简体" w:hAnsi="宋体" w:eastAsia="方正大标宋简体" w:cs="宋体"/>
          <w:bCs/>
          <w:color w:val="auto"/>
          <w:kern w:val="0"/>
          <w:sz w:val="44"/>
          <w:szCs w:val="44"/>
          <w:highlight w:val="none"/>
        </w:rPr>
        <w:t>农商银行202</w:t>
      </w:r>
      <w:r>
        <w:rPr>
          <w:rFonts w:hint="eastAsia" w:ascii="方正大标宋简体" w:hAnsi="宋体" w:eastAsia="方正大标宋简体" w:cs="宋体"/>
          <w:bCs/>
          <w:color w:val="auto"/>
          <w:kern w:val="0"/>
          <w:sz w:val="44"/>
          <w:szCs w:val="44"/>
          <w:highlight w:val="none"/>
          <w:lang w:val="en-US" w:eastAsia="zh-CN"/>
        </w:rPr>
        <w:t>5</w:t>
      </w:r>
      <w:r>
        <w:rPr>
          <w:rFonts w:hint="eastAsia" w:ascii="方正大标宋简体" w:hAnsi="宋体" w:eastAsia="方正大标宋简体" w:cs="宋体"/>
          <w:bCs/>
          <w:color w:val="auto"/>
          <w:kern w:val="0"/>
          <w:sz w:val="44"/>
          <w:szCs w:val="44"/>
          <w:highlight w:val="none"/>
        </w:rPr>
        <w:t>年度信息披露报告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江西寻乌农村商业银行股份有限公司（以下简称“本行”）董事会及董事保证本报告所载资料不存在任何虚假记载、误导性陈述或者重大遗漏，并对其内容的真实性、准确性和完整性承担个别及连带责任。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一、基本情况简介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b/>
          <w:bCs/>
          <w:color w:val="auto"/>
          <w:sz w:val="32"/>
          <w:szCs w:val="32"/>
          <w:highlight w:val="none"/>
          <w:lang w:val="en-US" w:eastAsia="zh-CN"/>
        </w:rPr>
        <w:t>1.</w:t>
      </w:r>
      <w:r>
        <w:rPr>
          <w:rFonts w:hint="eastAsia" w:ascii="楷体" w:hAnsi="楷体" w:eastAsia="楷体" w:cs="楷体"/>
          <w:b/>
          <w:bCs/>
          <w:color w:val="auto"/>
          <w:sz w:val="32"/>
          <w:szCs w:val="32"/>
          <w:highlight w:val="none"/>
          <w:lang w:eastAsia="zh-CN"/>
        </w:rPr>
        <w:t>法定中文名称：</w:t>
      </w:r>
      <w:r>
        <w:rPr>
          <w:rFonts w:hint="eastAsia" w:ascii="仿宋_GB2312" w:hAnsi="仿宋_GB2312" w:eastAsia="仿宋_GB2312" w:cs="仿宋_GB2312"/>
          <w:color w:val="auto"/>
          <w:sz w:val="32"/>
          <w:szCs w:val="32"/>
          <w:highlight w:val="none"/>
          <w:lang w:eastAsia="zh-CN"/>
        </w:rPr>
        <w:t>江西寻乌农村商业银行股份有限公司，简称：寻乌农商银行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法定英文名称：JIANGXI </w:t>
      </w:r>
      <w:r>
        <w:rPr>
          <w:rFonts w:hint="eastAsia" w:ascii="仿宋_GB2312" w:hAnsi="仿宋_GB2312" w:eastAsia="仿宋_GB2312" w:cs="仿宋_GB2312"/>
          <w:color w:val="auto"/>
          <w:sz w:val="32"/>
          <w:szCs w:val="32"/>
          <w:highlight w:val="none"/>
          <w:lang w:val="en-US" w:eastAsia="zh-CN"/>
        </w:rPr>
        <w:t>XUNWU</w:t>
      </w:r>
      <w:r>
        <w:rPr>
          <w:rFonts w:hint="eastAsia" w:ascii="仿宋_GB2312" w:hAnsi="仿宋_GB2312" w:eastAsia="仿宋_GB2312" w:cs="仿宋_GB2312"/>
          <w:color w:val="auto"/>
          <w:sz w:val="32"/>
          <w:szCs w:val="32"/>
          <w:highlight w:val="none"/>
          <w:lang w:eastAsia="zh-CN"/>
        </w:rPr>
        <w:t xml:space="preserve"> RURAL COMMERCIAL BANK CO.,LTD</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2.</w:t>
      </w:r>
      <w:r>
        <w:rPr>
          <w:rFonts w:hint="eastAsia" w:ascii="楷体" w:hAnsi="楷体" w:eastAsia="楷体" w:cs="楷体"/>
          <w:b/>
          <w:bCs/>
          <w:color w:val="auto"/>
          <w:sz w:val="32"/>
          <w:szCs w:val="32"/>
          <w:highlight w:val="none"/>
          <w:lang w:eastAsia="zh-CN"/>
        </w:rPr>
        <w:t>法定代表人：</w:t>
      </w:r>
      <w:r>
        <w:rPr>
          <w:rFonts w:hint="eastAsia" w:ascii="仿宋_GB2312" w:hAnsi="仿宋_GB2312" w:eastAsia="仿宋_GB2312" w:cs="仿宋_GB2312"/>
          <w:color w:val="auto"/>
          <w:sz w:val="32"/>
          <w:szCs w:val="32"/>
          <w:highlight w:val="none"/>
          <w:lang w:val="en-US" w:eastAsia="zh-CN"/>
        </w:rPr>
        <w:t>刘志文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3.</w:t>
      </w:r>
      <w:r>
        <w:rPr>
          <w:rFonts w:hint="eastAsia" w:ascii="楷体" w:hAnsi="楷体" w:eastAsia="楷体" w:cs="楷体"/>
          <w:b/>
          <w:bCs/>
          <w:color w:val="auto"/>
          <w:sz w:val="32"/>
          <w:szCs w:val="32"/>
          <w:highlight w:val="none"/>
          <w:lang w:eastAsia="zh-CN"/>
        </w:rPr>
        <w:t>注册及办公地址：</w:t>
      </w:r>
      <w:r>
        <w:rPr>
          <w:rFonts w:hint="eastAsia" w:ascii="仿宋_GB2312" w:hAnsi="仿宋_GB2312" w:eastAsia="仿宋_GB2312" w:cs="仿宋_GB2312"/>
          <w:color w:val="auto"/>
          <w:sz w:val="32"/>
          <w:szCs w:val="32"/>
          <w:highlight w:val="none"/>
          <w:lang w:eastAsia="zh-CN"/>
        </w:rPr>
        <w:t>江西省赣州市寻乌县长宁镇</w:t>
      </w:r>
      <w:r>
        <w:rPr>
          <w:rFonts w:hint="eastAsia" w:ascii="仿宋_GB2312" w:hAnsi="仿宋_GB2312" w:eastAsia="仿宋_GB2312" w:cs="仿宋_GB2312"/>
          <w:color w:val="auto"/>
          <w:sz w:val="32"/>
          <w:szCs w:val="32"/>
          <w:highlight w:val="none"/>
          <w:lang w:val="en-US" w:eastAsia="zh-CN"/>
        </w:rPr>
        <w:t>滨河东路6号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注册资本:壹亿伍仟肆佰柒拾肆万贰仟伍佰零玖元整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首次注册登记日期：2016年6月27日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邮政编码：34</w:t>
      </w:r>
      <w:r>
        <w:rPr>
          <w:rFonts w:hint="eastAsia" w:ascii="仿宋_GB2312" w:hAnsi="仿宋_GB2312" w:eastAsia="仿宋_GB2312" w:cs="仿宋_GB2312"/>
          <w:color w:val="auto"/>
          <w:sz w:val="32"/>
          <w:szCs w:val="32"/>
          <w:highlight w:val="none"/>
          <w:lang w:val="en-US" w:eastAsia="zh-CN"/>
        </w:rPr>
        <w:t>2200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b/>
          <w:bCs/>
          <w:color w:val="auto"/>
          <w:sz w:val="32"/>
          <w:szCs w:val="32"/>
          <w:highlight w:val="none"/>
          <w:lang w:val="en-US" w:eastAsia="zh-CN"/>
        </w:rPr>
        <w:t>4.</w:t>
      </w:r>
      <w:r>
        <w:rPr>
          <w:rFonts w:hint="eastAsia" w:ascii="楷体" w:hAnsi="楷体" w:eastAsia="楷体" w:cs="楷体"/>
          <w:b/>
          <w:bCs/>
          <w:color w:val="auto"/>
          <w:sz w:val="32"/>
          <w:szCs w:val="32"/>
          <w:highlight w:val="none"/>
          <w:lang w:eastAsia="zh-CN"/>
        </w:rPr>
        <w:t>其他有关资料：</w:t>
      </w:r>
      <w:r>
        <w:rPr>
          <w:rFonts w:hint="eastAsia" w:ascii="仿宋_GB2312" w:hAnsi="仿宋_GB2312" w:eastAsia="仿宋_GB2312" w:cs="仿宋_GB2312"/>
          <w:color w:val="auto"/>
          <w:sz w:val="32"/>
          <w:szCs w:val="32"/>
          <w:highlight w:val="none"/>
          <w:lang w:eastAsia="zh-CN"/>
        </w:rPr>
        <w:t>企业法人营业执照统一社会信用代码：91360700MA35JFX52Y；金融许可证号：B0968H336070001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b/>
          <w:bCs/>
          <w:color w:val="auto"/>
          <w:sz w:val="32"/>
          <w:szCs w:val="32"/>
          <w:highlight w:val="none"/>
          <w:lang w:val="en-US" w:eastAsia="zh-CN"/>
        </w:rPr>
        <w:t>5.</w:t>
      </w:r>
      <w:r>
        <w:rPr>
          <w:rFonts w:hint="eastAsia" w:ascii="楷体" w:hAnsi="楷体" w:eastAsia="楷体" w:cs="楷体"/>
          <w:b/>
          <w:bCs/>
          <w:color w:val="auto"/>
          <w:sz w:val="32"/>
          <w:szCs w:val="32"/>
          <w:highlight w:val="none"/>
          <w:lang w:eastAsia="zh-CN"/>
        </w:rPr>
        <w:t>经营范围：</w:t>
      </w:r>
      <w:r>
        <w:rPr>
          <w:rFonts w:hint="eastAsia" w:ascii="仿宋_GB2312" w:hAnsi="仿宋_GB2312" w:eastAsia="仿宋_GB2312" w:cs="仿宋_GB2312"/>
          <w:color w:val="auto"/>
          <w:sz w:val="32"/>
          <w:szCs w:val="32"/>
          <w:highlight w:val="none"/>
          <w:lang w:eastAsia="zh-CN"/>
        </w:rPr>
        <w:t>吸收公众存款；发放短期、中期和长期贷款；办理国内结算；办理票据承兑与贴现；代理收付款项及代理保险业务；买卖政府债券、金融债券；从事同业拆借；办理银行卡业务；代理发行、代理兑付、承销政府债券；提供保管箱服务；经银行业监督管理机构批准的其他业务。（依法须经批准的项目，经相关部门批准后方可开展经营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二、财务会计报表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val="en-US" w:eastAsia="zh-CN"/>
        </w:rPr>
        <w:t>（一）</w:t>
      </w:r>
      <w:r>
        <w:rPr>
          <w:rFonts w:hint="eastAsia" w:ascii="楷体_GB2312" w:hAnsi="楷体_GB2312" w:eastAsia="楷体_GB2312" w:cs="楷体_GB2312"/>
          <w:b/>
          <w:bCs/>
          <w:color w:val="auto"/>
          <w:sz w:val="32"/>
          <w:szCs w:val="32"/>
          <w:highlight w:val="none"/>
          <w:lang w:eastAsia="zh-CN"/>
        </w:rPr>
        <w:t>会计报表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1.资产负债表</w:t>
      </w:r>
    </w:p>
    <w:tbl>
      <w:tblPr>
        <w:tblStyle w:val="14"/>
        <w:tblW w:w="88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70"/>
        <w:gridCol w:w="303"/>
        <w:gridCol w:w="1096"/>
        <w:gridCol w:w="1137"/>
        <w:gridCol w:w="1390"/>
        <w:gridCol w:w="1351"/>
        <w:gridCol w:w="1091"/>
        <w:gridCol w:w="1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647" w:type="dxa"/>
            <w:gridSpan w:val="6"/>
            <w:tcBorders>
              <w:bottom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编制单位：江西寻乌农村商业银行股份有限公司           年报：2025年01月-2025年12月</w:t>
            </w:r>
          </w:p>
        </w:tc>
        <w:tc>
          <w:tcPr>
            <w:tcW w:w="2228" w:type="dxa"/>
            <w:gridSpan w:val="2"/>
            <w:tcBorders>
              <w:bottom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righ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单位：元      币种：人民币(CNY)</w:t>
            </w:r>
          </w:p>
        </w:tc>
      </w:tr>
      <w:tr>
        <w:tblPrEx>
          <w:shd w:val="clear" w:color="auto" w:fill="auto"/>
          <w:tblLayout w:type="fixed"/>
          <w:tblCellMar>
            <w:top w:w="15" w:type="dxa"/>
            <w:left w:w="15" w:type="dxa"/>
            <w:bottom w:w="15" w:type="dxa"/>
            <w:right w:w="15" w:type="dxa"/>
          </w:tblCellMar>
        </w:tblPrEx>
        <w:trPr>
          <w:trHeight w:val="42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项      目</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行次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年初余额</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年末余额</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项      目</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行次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年初余额</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年末余额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资  产：</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outlineLvl w:val="9"/>
              <w:rPr>
                <w:rFonts w:hint="eastAsia" w:asciiTheme="minorEastAsia" w:hAnsiTheme="minorEastAsia" w:eastAsiaTheme="minorEastAsia" w:cstheme="minorEastAsia"/>
                <w:i w:val="0"/>
                <w:color w:val="auto"/>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负  债：</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现金及存放中央银行款项</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444,807,077.24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454,875,047.04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向中央银行借款</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1,120,019,444.43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1,019,342,830.55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存放联行款项</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联行存放款项</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存放同业款项</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200,989,799.84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246,591,498.88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同业及其他金融机构存放款项</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贵金属</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拆入资金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拆出资金</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交易性金融负债</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衍生金融资产</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衍生金融负债</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买入返售金融资产</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卖出回购金融资产款</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130,034,931.49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40,000,000.00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发放贷款和垫款</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7,029,555,740.84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7,505,527,523.69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吸收存款</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7,501,734,387.57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8,182,539,204.58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金融投资：</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应付职工薪酬</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31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23,120,493.02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25,403,492.09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　交易性金融资产</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应交税费</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32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34,784,736.57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11,155,278.54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　债权投资</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1,841,499,416.95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1,614,086,183.98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租赁负债</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33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1,631,028.86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919,105.86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　其他债权投资</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301,325,540.00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预计负债</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34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777,742.30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1,122,774.30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　其他权益工具投资</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应付债券</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35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长期股权投资</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139,794,666.09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139,494,666.09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递延所得税负债</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36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投资性房地产</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其他负债</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37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21,824,115.97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41,172,179.40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固定资产</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109,453,135.48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103,894,066.17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负债总计</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38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8,833,926,880.21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9,321,654,865.32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在建工程</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所有者权益：</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使用权资产</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1,337,623.46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875,238.40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实收资本（股本）</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39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153,210,405.00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154,742,509.00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无形资产</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21,784,345.54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20,790,211.24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其中：法人股本</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40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21,618,518.00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21,834,703.00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递延所得税资产</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　　　自然人股本</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41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131,591,887.00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132,907,806.00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其他资产</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2,658,194.81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3,723,797.92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其他权益工具</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42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outlineLvl w:val="9"/>
              <w:rPr>
                <w:rFonts w:hint="eastAsia" w:asciiTheme="minorEastAsia" w:hAnsiTheme="minorEastAsia" w:eastAsiaTheme="minorEastAsia" w:cstheme="minorEastAsia"/>
                <w:i w:val="0"/>
                <w:color w:val="auto"/>
                <w:sz w:val="13"/>
                <w:szCs w:val="13"/>
                <w:u w:val="none"/>
              </w:rPr>
            </w:pP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资本公积</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43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7,939,758.61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7,939,758.61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outlineLvl w:val="9"/>
              <w:rPr>
                <w:rFonts w:hint="eastAsia" w:asciiTheme="minorEastAsia" w:hAnsiTheme="minorEastAsia" w:eastAsiaTheme="minorEastAsia" w:cstheme="minorEastAsia"/>
                <w:i w:val="0"/>
                <w:color w:val="auto"/>
                <w:sz w:val="13"/>
                <w:szCs w:val="13"/>
                <w:u w:val="none"/>
              </w:rPr>
            </w:pP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减：库存股</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44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outlineLvl w:val="9"/>
              <w:rPr>
                <w:rFonts w:hint="eastAsia" w:asciiTheme="minorEastAsia" w:hAnsiTheme="minorEastAsia" w:eastAsiaTheme="minorEastAsia" w:cstheme="minorEastAsia"/>
                <w:i w:val="0"/>
                <w:color w:val="auto"/>
                <w:sz w:val="13"/>
                <w:szCs w:val="13"/>
                <w:u w:val="none"/>
              </w:rPr>
            </w:pP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其他综合收益</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45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2,549,350.05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5,304,308.42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outlineLvl w:val="9"/>
              <w:rPr>
                <w:rFonts w:hint="eastAsia" w:asciiTheme="minorEastAsia" w:hAnsiTheme="minorEastAsia" w:eastAsiaTheme="minorEastAsia" w:cstheme="minorEastAsia"/>
                <w:i w:val="0"/>
                <w:color w:val="auto"/>
                <w:sz w:val="13"/>
                <w:szCs w:val="13"/>
                <w:u w:val="none"/>
              </w:rPr>
            </w:pP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盈余公积</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46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158,477,765.69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170,585,531.90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outlineLvl w:val="9"/>
              <w:rPr>
                <w:rFonts w:hint="eastAsia" w:asciiTheme="minorEastAsia" w:hAnsiTheme="minorEastAsia" w:eastAsiaTheme="minorEastAsia" w:cstheme="minorEastAsia"/>
                <w:i w:val="0"/>
                <w:color w:val="auto"/>
                <w:sz w:val="13"/>
                <w:szCs w:val="13"/>
                <w:u w:val="none"/>
              </w:rPr>
            </w:pP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一般风险准备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47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213,265,081.31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213,265,081.31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outlineLvl w:val="9"/>
              <w:rPr>
                <w:rFonts w:hint="eastAsia" w:asciiTheme="minorEastAsia" w:hAnsiTheme="minorEastAsia" w:eastAsiaTheme="minorEastAsia" w:cstheme="minorEastAsia"/>
                <w:i w:val="0"/>
                <w:color w:val="auto"/>
                <w:sz w:val="13"/>
                <w:szCs w:val="13"/>
                <w:u w:val="none"/>
              </w:rPr>
            </w:pP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未分配利润</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48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422,510,759.38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517,691,718.85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outlineLvl w:val="9"/>
              <w:rPr>
                <w:rFonts w:hint="eastAsia" w:asciiTheme="minorEastAsia" w:hAnsiTheme="minorEastAsia" w:eastAsiaTheme="minorEastAsia" w:cstheme="minorEastAsia"/>
                <w:i w:val="0"/>
                <w:color w:val="auto"/>
                <w:sz w:val="13"/>
                <w:szCs w:val="13"/>
                <w:u w:val="none"/>
              </w:rPr>
            </w:pP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归属于母公司所有者权益合计</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49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957,953,120.04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1,069,528,908.09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outlineLvl w:val="9"/>
              <w:rPr>
                <w:rFonts w:hint="eastAsia" w:asciiTheme="minorEastAsia" w:hAnsiTheme="minorEastAsia" w:eastAsiaTheme="minorEastAsia" w:cstheme="minorEastAsia"/>
                <w:i w:val="0"/>
                <w:color w:val="auto"/>
                <w:sz w:val="13"/>
                <w:szCs w:val="13"/>
                <w:u w:val="none"/>
              </w:rPr>
            </w:pP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少数股东权益</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outlineLvl w:val="9"/>
              <w:rPr>
                <w:rFonts w:hint="eastAsia" w:asciiTheme="minorEastAsia" w:hAnsiTheme="minorEastAsia" w:eastAsiaTheme="minorEastAsia" w:cstheme="minorEastAsia"/>
                <w:b/>
                <w:i w:val="0"/>
                <w:color w:val="auto"/>
                <w:sz w:val="13"/>
                <w:szCs w:val="13"/>
                <w:u w:val="none"/>
              </w:rPr>
            </w:pP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所有者权益合计</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51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957,953,120.04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1,069,528,908.09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资产总计</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22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9,791,880,000.25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10,391,183,773.41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负债及所有者权益总计</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52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9,791,880,000.25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10,391,183,773.41</w:t>
            </w:r>
          </w:p>
        </w:tc>
      </w:tr>
    </w:tbl>
    <w:p>
      <w:pPr>
        <w:numPr>
          <w:ilvl w:val="0"/>
          <w:numId w:val="0"/>
        </w:numPr>
        <w:ind w:firstLine="643" w:firstLineChars="200"/>
        <w:rPr>
          <w:rFonts w:hint="eastAsia"/>
          <w:color w:val="auto"/>
          <w:lang w:val="en-US" w:eastAsia="zh-CN"/>
        </w:rPr>
      </w:pPr>
      <w:r>
        <w:rPr>
          <w:rFonts w:hint="eastAsia" w:ascii="仿宋_GB2312" w:hAnsi="仿宋_GB2312" w:eastAsia="仿宋_GB2312" w:cs="仿宋_GB2312"/>
          <w:b/>
          <w:bCs/>
          <w:color w:val="auto"/>
          <w:sz w:val="32"/>
          <w:szCs w:val="32"/>
          <w:highlight w:val="none"/>
          <w:lang w:val="en-US" w:eastAsia="zh-CN"/>
        </w:rPr>
        <w:t>2.利润表（损益表）</w:t>
      </w:r>
    </w:p>
    <w:tbl>
      <w:tblPr>
        <w:tblStyle w:val="14"/>
        <w:tblW w:w="88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70"/>
        <w:gridCol w:w="303"/>
        <w:gridCol w:w="1096"/>
        <w:gridCol w:w="1137"/>
        <w:gridCol w:w="1390"/>
        <w:gridCol w:w="1351"/>
        <w:gridCol w:w="1091"/>
        <w:gridCol w:w="1137"/>
      </w:tblGrid>
      <w:tr>
        <w:tblPrEx>
          <w:shd w:val="clear" w:color="auto" w:fill="auto"/>
          <w:tblLayout w:type="fixed"/>
          <w:tblCellMar>
            <w:top w:w="15" w:type="dxa"/>
            <w:left w:w="15" w:type="dxa"/>
            <w:bottom w:w="15" w:type="dxa"/>
            <w:right w:w="15" w:type="dxa"/>
          </w:tblCellMar>
        </w:tblPrEx>
        <w:trPr>
          <w:trHeight w:val="286" w:hRule="atLeast"/>
        </w:trPr>
        <w:tc>
          <w:tcPr>
            <w:tcW w:w="6647" w:type="dxa"/>
            <w:gridSpan w:val="6"/>
            <w:tcBorders>
              <w:bottom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编制单位：江西寻乌农村商业银行股份有限公司           年报：2025年01月-2025年12月</w:t>
            </w:r>
          </w:p>
        </w:tc>
        <w:tc>
          <w:tcPr>
            <w:tcW w:w="2228" w:type="dxa"/>
            <w:gridSpan w:val="2"/>
            <w:tcBorders>
              <w:bottom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right"/>
              <w:textAlignment w:val="center"/>
              <w:outlineLvl w:val="9"/>
              <w:rPr>
                <w:rFonts w:hint="eastAsia" w:asciiTheme="minorEastAsia" w:hAnsiTheme="minorEastAsia" w:eastAsiaTheme="minorEastAsia" w:cstheme="minorEastAsia"/>
                <w:i w:val="0"/>
                <w:color w:val="auto"/>
                <w:sz w:val="13"/>
                <w:szCs w:val="13"/>
                <w:u w:val="none"/>
              </w:rPr>
            </w:pPr>
            <w:r>
              <w:rPr>
                <w:rFonts w:hint="eastAsia" w:asciiTheme="minorEastAsia" w:hAnsiTheme="minorEastAsia" w:eastAsiaTheme="minorEastAsia" w:cstheme="minorEastAsia"/>
                <w:i w:val="0"/>
                <w:color w:val="auto"/>
                <w:kern w:val="0"/>
                <w:sz w:val="13"/>
                <w:szCs w:val="13"/>
                <w:u w:val="none"/>
                <w:lang w:val="en-US" w:eastAsia="zh-CN" w:bidi="ar"/>
              </w:rPr>
              <w:t>单位：元      币种：人民币(CNY)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项目名称</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行次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上年同期数</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本年累计数</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项目名称</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行次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上年同期数</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i w:val="0"/>
                <w:color w:val="auto"/>
                <w:sz w:val="13"/>
                <w:szCs w:val="13"/>
                <w:u w:val="none"/>
              </w:rPr>
            </w:pPr>
            <w:r>
              <w:rPr>
                <w:rFonts w:hint="eastAsia" w:asciiTheme="minorEastAsia" w:hAnsiTheme="minorEastAsia" w:eastAsiaTheme="minorEastAsia" w:cstheme="minorEastAsia"/>
                <w:b/>
                <w:i w:val="0"/>
                <w:color w:val="auto"/>
                <w:kern w:val="0"/>
                <w:sz w:val="13"/>
                <w:szCs w:val="13"/>
                <w:u w:val="none"/>
                <w:lang w:val="en-US" w:eastAsia="zh-CN" w:bidi="ar"/>
              </w:rPr>
              <w:t>本年累计数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一、营业收入</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330,064,590.42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329,259,076.56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五、净利润（亏损以“-”号填列）</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91,432,830.85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121,077,662.13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（一）利息净收入</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296,898,576.36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287,151,558.65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（一）按经营持续性分类：</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利息收入</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431,229,961.69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415,712,792.61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1.持续经营净利润（净亏损以“-”号填列）</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91,432,830.85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121,077,662.13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利息支出</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134,331,385.33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128,561,233.96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2.终止经营净利润（净亏损以“-”号填列）</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（二）手续费及佣金净收入</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1,935,764.52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1,965,084.89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（二）按所有权归属分类：</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手续费及佣金收入</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6,485,777.96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6,377,564.42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1.归属于母公司所有者的净利润（净亏损以“-”号填列）</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91,432,830.85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121,077,662.13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手续费及佣金支出</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4,550,013.44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4,412,479.53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2.少数股东损益（净亏损以“-”号填列）</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（三）投资收益（损失以“-”号填列）</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31,066,728.07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39,768,210.70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六、其他综合收益的税后净额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-4,851,449.66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2,754,958.37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其中：对联营企业和合营企业的投资收益</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归属母公司所有者的其他综合收益的税后净额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-4,851,449.66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2,754,958.37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以摊余成本计量的金融资产终止确认产生的收益（损失以“-”号填列）</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26,228,535.08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23,643,787.93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（一）不能重分类进损益的其他综合收益</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（四）净敞口套期收益（损失以“-”号填列）</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 重新计量设定受益计划变动额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（五）其他收益</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66,579.65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120,010.87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 权益法下不能转损益的其他综合收益</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（六）公允价值变动收益（损失以“-”号填列）</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 其他权益工具投资公允价值变动</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（七）汇兑收益（损失以“-”号填列）</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 企业自身信用风险公允价值变动</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（八）其他业务收入</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73,159.61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87,989.44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（二）将重分类进损益的其他综合收益</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-4,851,449.66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2,754,958.37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（九）资产处置收益（损失以“-”号填列）</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23,782.21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166,222.01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 权益法下可转损益的其他综合收益</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二、营业支出</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193,006,842.61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186,727,645.14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 其他债权投资公允价值变动</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340,093.84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-4,722,327.31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（一）税金及附加</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1,536,928.15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1,504,279.46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 金融资产重分类计入其他综合收益的金额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（二）业务及管理费</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19</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91,731,406.70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95,943,702.08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 其他债权投资信用损失准备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-5,191,543.50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7,477,285.68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（三）信用减值损失</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99,644,849.90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89,081,069.38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5. 现金流量套期储备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（四）其他资产减值损失</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6. 外币财务报表折算差额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（五）其他业务成本</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93,657.86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198,594.22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归属于少数股东的其他综合收益的税后净额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三、营业利润（亏损以“-”号填列）</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137,057,747.81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142,531,431.42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七、综合收益总额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86,581,381.19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123,832,620.50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加：营业外收入</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1,123,756.68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708,965.92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归属于母公司所有者的综合收益总额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51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86,581,381.19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123,832,620.50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减：营业外支出</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1,035,921.76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2,514,035.37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归属于少数股东的综合收益总额</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52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四、利润总额（亏损以“-”号填列）</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137,145,582.73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140,726,361.97</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八、每股收益：</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53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减：所得税费用</w:t>
            </w: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45,712,751.88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19,648,699.84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（一）基本每股收益</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54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outlineLvl w:val="9"/>
              <w:rPr>
                <w:rFonts w:hint="eastAsia" w:asciiTheme="minorEastAsia" w:hAnsiTheme="minorEastAsia" w:eastAsiaTheme="minorEastAsia" w:cstheme="minorEastAsia"/>
                <w:b w:val="0"/>
                <w:bCs w:val="0"/>
                <w:i w:val="0"/>
                <w:color w:val="auto"/>
                <w:sz w:val="13"/>
                <w:szCs w:val="13"/>
                <w:u w:val="none"/>
              </w:rPr>
            </w:pPr>
          </w:p>
        </w:tc>
        <w:tc>
          <w:tcPr>
            <w:tcW w:w="30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outlineLvl w:val="9"/>
              <w:rPr>
                <w:rFonts w:hint="eastAsia" w:asciiTheme="minorEastAsia" w:hAnsiTheme="minorEastAsia" w:eastAsiaTheme="minorEastAsia" w:cstheme="minorEastAsia"/>
                <w:b w:val="0"/>
                <w:bCs w:val="0"/>
                <w:i w:val="0"/>
                <w:color w:val="auto"/>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（二）稀释每股收益</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55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u w:val="none"/>
              </w:rPr>
            </w:pPr>
          </w:p>
        </w:tc>
      </w:tr>
    </w:tbl>
    <w:p>
      <w:pPr>
        <w:ind w:firstLine="643" w:firstLineChars="200"/>
        <w:rPr>
          <w:rFonts w:hint="eastAsia"/>
          <w:color w:val="auto"/>
          <w:highlight w:val="none"/>
          <w:lang w:val="en-US" w:eastAsia="zh-CN"/>
        </w:rPr>
      </w:pPr>
      <w:r>
        <w:rPr>
          <w:rFonts w:hint="eastAsia" w:ascii="仿宋_GB2312" w:hAnsi="仿宋_GB2312" w:eastAsia="仿宋_GB2312" w:cs="仿宋_GB2312"/>
          <w:b/>
          <w:bCs/>
          <w:color w:val="auto"/>
          <w:sz w:val="32"/>
          <w:szCs w:val="32"/>
          <w:highlight w:val="none"/>
          <w:lang w:val="en-US" w:eastAsia="zh-CN"/>
        </w:rPr>
        <w:t>3.现金流量表</w:t>
      </w:r>
    </w:p>
    <w:tbl>
      <w:tblPr>
        <w:tblStyle w:val="14"/>
        <w:tblW w:w="88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
      <w:tblGrid>
        <w:gridCol w:w="1925"/>
        <w:gridCol w:w="230"/>
        <w:gridCol w:w="1159"/>
        <w:gridCol w:w="1162"/>
        <w:gridCol w:w="1740"/>
        <w:gridCol w:w="200"/>
        <w:gridCol w:w="230"/>
        <w:gridCol w:w="1070"/>
        <w:gridCol w:w="11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360" w:hRule="atLeast"/>
        </w:trPr>
        <w:tc>
          <w:tcPr>
            <w:tcW w:w="3314" w:type="dxa"/>
            <w:gridSpan w:val="3"/>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outlineLvl w:val="9"/>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编制单位：江西寻乌农村商业银行股份有限公司</w:t>
            </w:r>
          </w:p>
        </w:tc>
        <w:tc>
          <w:tcPr>
            <w:tcW w:w="3102" w:type="dxa"/>
            <w:gridSpan w:val="3"/>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outlineLvl w:val="9"/>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2025年01月到12月</w:t>
            </w:r>
          </w:p>
        </w:tc>
        <w:tc>
          <w:tcPr>
            <w:tcW w:w="230" w:type="dxa"/>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outlineLvl w:val="9"/>
              <w:rPr>
                <w:rFonts w:hint="eastAsia" w:asciiTheme="minorEastAsia" w:hAnsiTheme="minorEastAsia" w:eastAsiaTheme="minorEastAsia" w:cstheme="minorEastAsia"/>
                <w:i w:val="0"/>
                <w:color w:val="auto"/>
                <w:sz w:val="13"/>
                <w:szCs w:val="13"/>
                <w:highlight w:val="none"/>
                <w:u w:val="none"/>
              </w:rPr>
            </w:pPr>
          </w:p>
        </w:tc>
        <w:tc>
          <w:tcPr>
            <w:tcW w:w="2229" w:type="dxa"/>
            <w:gridSpan w:val="2"/>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right"/>
              <w:textAlignment w:val="center"/>
              <w:outlineLvl w:val="9"/>
              <w:rPr>
                <w:rFonts w:hint="eastAsia" w:asciiTheme="minorEastAsia" w:hAnsiTheme="minorEastAsia" w:eastAsiaTheme="minorEastAsia" w:cstheme="minorEastAsia"/>
                <w:i w:val="0"/>
                <w:color w:val="auto"/>
                <w:sz w:val="13"/>
                <w:szCs w:val="13"/>
                <w:highlight w:val="none"/>
                <w:u w:val="none"/>
              </w:rPr>
            </w:pPr>
            <w:r>
              <w:rPr>
                <w:rFonts w:hint="eastAsia" w:asciiTheme="minorEastAsia" w:hAnsiTheme="minorEastAsia" w:eastAsiaTheme="minorEastAsia" w:cstheme="minorEastAsia"/>
                <w:i w:val="0"/>
                <w:color w:val="auto"/>
                <w:kern w:val="0"/>
                <w:sz w:val="13"/>
                <w:szCs w:val="13"/>
                <w:highlight w:val="none"/>
                <w:u w:val="none"/>
                <w:lang w:val="en-US" w:eastAsia="zh-CN" w:bidi="ar"/>
              </w:rPr>
              <w:t>报表类型:本外币合并报表　单位：元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6" w:hRule="atLeast"/>
        </w:trPr>
        <w:tc>
          <w:tcPr>
            <w:tcW w:w="1925" w:type="dxa"/>
            <w:tcBorders>
              <w:top w:val="single" w:color="000000" w:sz="12"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bCs/>
                <w:i w:val="0"/>
                <w:color w:val="auto"/>
                <w:sz w:val="13"/>
                <w:szCs w:val="13"/>
                <w:highlight w:val="none"/>
                <w:u w:val="none"/>
              </w:rPr>
            </w:pPr>
            <w:r>
              <w:rPr>
                <w:rStyle w:val="17"/>
                <w:rFonts w:hint="eastAsia" w:asciiTheme="minorEastAsia" w:hAnsiTheme="minorEastAsia" w:eastAsiaTheme="minorEastAsia" w:cstheme="minorEastAsia"/>
                <w:b/>
                <w:bCs/>
                <w:color w:val="auto"/>
                <w:sz w:val="13"/>
                <w:szCs w:val="13"/>
                <w:lang w:val="en-US" w:eastAsia="zh-CN" w:bidi="ar"/>
              </w:rPr>
              <w:t xml:space="preserve">  </w:t>
            </w:r>
            <w:r>
              <w:rPr>
                <w:rStyle w:val="19"/>
                <w:rFonts w:hint="eastAsia" w:asciiTheme="minorEastAsia" w:hAnsiTheme="minorEastAsia" w:eastAsiaTheme="minorEastAsia" w:cstheme="minorEastAsia"/>
                <w:b/>
                <w:bCs/>
                <w:color w:val="auto"/>
                <w:sz w:val="13"/>
                <w:szCs w:val="13"/>
                <w:lang w:val="en-US" w:eastAsia="zh-CN" w:bidi="ar"/>
              </w:rPr>
              <w:t>项</w:t>
            </w:r>
            <w:r>
              <w:rPr>
                <w:rStyle w:val="17"/>
                <w:rFonts w:hint="eastAsia" w:asciiTheme="minorEastAsia" w:hAnsiTheme="minorEastAsia" w:eastAsiaTheme="minorEastAsia" w:cstheme="minorEastAsia"/>
                <w:b/>
                <w:bCs/>
                <w:color w:val="auto"/>
                <w:sz w:val="13"/>
                <w:szCs w:val="13"/>
                <w:lang w:val="en-US" w:eastAsia="zh-CN" w:bidi="ar"/>
              </w:rPr>
              <w:t xml:space="preserve">    </w:t>
            </w:r>
            <w:r>
              <w:rPr>
                <w:rStyle w:val="19"/>
                <w:rFonts w:hint="eastAsia" w:asciiTheme="minorEastAsia" w:hAnsiTheme="minorEastAsia" w:eastAsiaTheme="minorEastAsia" w:cstheme="minorEastAsia"/>
                <w:b/>
                <w:bCs/>
                <w:color w:val="auto"/>
                <w:sz w:val="13"/>
                <w:szCs w:val="13"/>
                <w:lang w:val="en-US" w:eastAsia="zh-CN" w:bidi="ar"/>
              </w:rPr>
              <w:t>目</w:t>
            </w:r>
          </w:p>
        </w:tc>
        <w:tc>
          <w:tcPr>
            <w:tcW w:w="230" w:type="dxa"/>
            <w:tcBorders>
              <w:top w:val="single" w:color="000000" w:sz="12"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i w:val="0"/>
                <w:color w:val="auto"/>
                <w:sz w:val="13"/>
                <w:szCs w:val="13"/>
                <w:highlight w:val="none"/>
                <w:u w:val="none"/>
              </w:rPr>
            </w:pPr>
            <w:r>
              <w:rPr>
                <w:rStyle w:val="19"/>
                <w:rFonts w:hint="eastAsia" w:asciiTheme="minorEastAsia" w:hAnsiTheme="minorEastAsia" w:eastAsiaTheme="minorEastAsia" w:cstheme="minorEastAsia"/>
                <w:b/>
                <w:bCs/>
                <w:color w:val="auto"/>
                <w:sz w:val="13"/>
                <w:szCs w:val="13"/>
                <w:lang w:val="en-US" w:eastAsia="zh-CN" w:bidi="ar"/>
              </w:rPr>
              <w:t>行次</w:t>
            </w:r>
          </w:p>
        </w:tc>
        <w:tc>
          <w:tcPr>
            <w:tcW w:w="1159" w:type="dxa"/>
            <w:tcBorders>
              <w:top w:val="single" w:color="000000" w:sz="12"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i w:val="0"/>
                <w:color w:val="auto"/>
                <w:sz w:val="13"/>
                <w:szCs w:val="13"/>
                <w:highlight w:val="none"/>
                <w:u w:val="none"/>
              </w:rPr>
            </w:pPr>
            <w:r>
              <w:rPr>
                <w:rStyle w:val="17"/>
                <w:rFonts w:hint="eastAsia" w:asciiTheme="minorEastAsia" w:hAnsiTheme="minorEastAsia" w:eastAsiaTheme="minorEastAsia" w:cstheme="minorEastAsia"/>
                <w:b/>
                <w:bCs/>
                <w:color w:val="auto"/>
                <w:sz w:val="13"/>
                <w:szCs w:val="13"/>
                <w:lang w:val="en-US" w:eastAsia="zh-CN" w:bidi="ar"/>
              </w:rPr>
              <w:t xml:space="preserve">       </w:t>
            </w:r>
            <w:r>
              <w:rPr>
                <w:rStyle w:val="19"/>
                <w:rFonts w:hint="eastAsia" w:asciiTheme="minorEastAsia" w:hAnsiTheme="minorEastAsia" w:eastAsiaTheme="minorEastAsia" w:cstheme="minorEastAsia"/>
                <w:b/>
                <w:bCs/>
                <w:color w:val="auto"/>
                <w:sz w:val="13"/>
                <w:szCs w:val="13"/>
                <w:lang w:val="en-US" w:eastAsia="zh-CN" w:bidi="ar"/>
              </w:rPr>
              <w:t>上年数</w:t>
            </w:r>
          </w:p>
        </w:tc>
        <w:tc>
          <w:tcPr>
            <w:tcW w:w="1162" w:type="dxa"/>
            <w:tcBorders>
              <w:top w:val="single" w:color="000000" w:sz="12"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i w:val="0"/>
                <w:color w:val="auto"/>
                <w:sz w:val="13"/>
                <w:szCs w:val="13"/>
                <w:highlight w:val="none"/>
                <w:u w:val="none"/>
              </w:rPr>
            </w:pPr>
            <w:r>
              <w:rPr>
                <w:rStyle w:val="17"/>
                <w:rFonts w:hint="eastAsia" w:asciiTheme="minorEastAsia" w:hAnsiTheme="minorEastAsia" w:eastAsiaTheme="minorEastAsia" w:cstheme="minorEastAsia"/>
                <w:b/>
                <w:bCs/>
                <w:color w:val="auto"/>
                <w:sz w:val="13"/>
                <w:szCs w:val="13"/>
                <w:lang w:val="en-US" w:eastAsia="zh-CN" w:bidi="ar"/>
              </w:rPr>
              <w:t xml:space="preserve">       </w:t>
            </w:r>
            <w:r>
              <w:rPr>
                <w:rStyle w:val="19"/>
                <w:rFonts w:hint="eastAsia" w:asciiTheme="minorEastAsia" w:hAnsiTheme="minorEastAsia" w:eastAsiaTheme="minorEastAsia" w:cstheme="minorEastAsia"/>
                <w:b/>
                <w:bCs/>
                <w:color w:val="auto"/>
                <w:sz w:val="13"/>
                <w:szCs w:val="13"/>
                <w:lang w:val="en-US" w:eastAsia="zh-CN" w:bidi="ar"/>
              </w:rPr>
              <w:t>本年数</w:t>
            </w:r>
          </w:p>
        </w:tc>
        <w:tc>
          <w:tcPr>
            <w:tcW w:w="1740" w:type="dxa"/>
            <w:tcBorders>
              <w:top w:val="single" w:color="000000" w:sz="12"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bCs/>
                <w:i w:val="0"/>
                <w:color w:val="auto"/>
                <w:sz w:val="13"/>
                <w:szCs w:val="13"/>
                <w:highlight w:val="none"/>
                <w:u w:val="none"/>
              </w:rPr>
            </w:pPr>
            <w:r>
              <w:rPr>
                <w:rStyle w:val="17"/>
                <w:rFonts w:hint="eastAsia" w:asciiTheme="minorEastAsia" w:hAnsiTheme="minorEastAsia" w:eastAsiaTheme="minorEastAsia" w:cstheme="minorEastAsia"/>
                <w:b/>
                <w:bCs/>
                <w:color w:val="auto"/>
                <w:sz w:val="13"/>
                <w:szCs w:val="13"/>
                <w:lang w:val="en-US" w:eastAsia="zh-CN" w:bidi="ar"/>
              </w:rPr>
              <w:t xml:space="preserve">  </w:t>
            </w:r>
            <w:r>
              <w:rPr>
                <w:rStyle w:val="19"/>
                <w:rFonts w:hint="eastAsia" w:asciiTheme="minorEastAsia" w:hAnsiTheme="minorEastAsia" w:eastAsiaTheme="minorEastAsia" w:cstheme="minorEastAsia"/>
                <w:b/>
                <w:bCs/>
                <w:color w:val="auto"/>
                <w:sz w:val="13"/>
                <w:szCs w:val="13"/>
                <w:lang w:val="en-US" w:eastAsia="zh-CN" w:bidi="ar"/>
              </w:rPr>
              <w:t>项</w:t>
            </w:r>
            <w:r>
              <w:rPr>
                <w:rStyle w:val="17"/>
                <w:rFonts w:hint="eastAsia" w:asciiTheme="minorEastAsia" w:hAnsiTheme="minorEastAsia" w:eastAsiaTheme="minorEastAsia" w:cstheme="minorEastAsia"/>
                <w:b/>
                <w:bCs/>
                <w:color w:val="auto"/>
                <w:sz w:val="13"/>
                <w:szCs w:val="13"/>
                <w:lang w:val="en-US" w:eastAsia="zh-CN" w:bidi="ar"/>
              </w:rPr>
              <w:t xml:space="preserve">    </w:t>
            </w:r>
            <w:r>
              <w:rPr>
                <w:rStyle w:val="19"/>
                <w:rFonts w:hint="eastAsia" w:asciiTheme="minorEastAsia" w:hAnsiTheme="minorEastAsia" w:eastAsiaTheme="minorEastAsia" w:cstheme="minorEastAsia"/>
                <w:b/>
                <w:bCs/>
                <w:color w:val="auto"/>
                <w:sz w:val="13"/>
                <w:szCs w:val="13"/>
                <w:lang w:val="en-US" w:eastAsia="zh-CN" w:bidi="ar"/>
              </w:rPr>
              <w:t>目</w:t>
            </w:r>
          </w:p>
        </w:tc>
        <w:tc>
          <w:tcPr>
            <w:tcW w:w="430" w:type="dxa"/>
            <w:gridSpan w:val="2"/>
            <w:tcBorders>
              <w:top w:val="single" w:color="000000" w:sz="12"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i w:val="0"/>
                <w:color w:val="auto"/>
                <w:sz w:val="13"/>
                <w:szCs w:val="13"/>
                <w:highlight w:val="none"/>
                <w:u w:val="none"/>
              </w:rPr>
            </w:pPr>
            <w:r>
              <w:rPr>
                <w:rStyle w:val="17"/>
                <w:rFonts w:hint="eastAsia" w:asciiTheme="minorEastAsia" w:hAnsiTheme="minorEastAsia" w:eastAsiaTheme="minorEastAsia" w:cstheme="minorEastAsia"/>
                <w:b/>
                <w:bCs/>
                <w:color w:val="auto"/>
                <w:sz w:val="13"/>
                <w:szCs w:val="13"/>
                <w:lang w:val="en-US" w:eastAsia="zh-CN" w:bidi="ar"/>
              </w:rPr>
              <w:t xml:space="preserve"> </w:t>
            </w:r>
            <w:r>
              <w:rPr>
                <w:rStyle w:val="19"/>
                <w:rFonts w:hint="eastAsia" w:asciiTheme="minorEastAsia" w:hAnsiTheme="minorEastAsia" w:eastAsiaTheme="minorEastAsia" w:cstheme="minorEastAsia"/>
                <w:b/>
                <w:bCs/>
                <w:color w:val="auto"/>
                <w:sz w:val="13"/>
                <w:szCs w:val="13"/>
                <w:lang w:val="en-US" w:eastAsia="zh-CN" w:bidi="ar"/>
              </w:rPr>
              <w:t>行次</w:t>
            </w:r>
          </w:p>
        </w:tc>
        <w:tc>
          <w:tcPr>
            <w:tcW w:w="1070" w:type="dxa"/>
            <w:tcBorders>
              <w:top w:val="single" w:color="000000" w:sz="12"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i w:val="0"/>
                <w:color w:val="auto"/>
                <w:sz w:val="13"/>
                <w:szCs w:val="13"/>
                <w:highlight w:val="none"/>
                <w:u w:val="none"/>
              </w:rPr>
            </w:pPr>
            <w:r>
              <w:rPr>
                <w:rStyle w:val="17"/>
                <w:rFonts w:hint="eastAsia" w:asciiTheme="minorEastAsia" w:hAnsiTheme="minorEastAsia" w:eastAsiaTheme="minorEastAsia" w:cstheme="minorEastAsia"/>
                <w:b/>
                <w:bCs/>
                <w:color w:val="auto"/>
                <w:sz w:val="13"/>
                <w:szCs w:val="13"/>
                <w:lang w:val="en-US" w:eastAsia="zh-CN" w:bidi="ar"/>
              </w:rPr>
              <w:t xml:space="preserve">       </w:t>
            </w:r>
            <w:r>
              <w:rPr>
                <w:rStyle w:val="19"/>
                <w:rFonts w:hint="eastAsia" w:asciiTheme="minorEastAsia" w:hAnsiTheme="minorEastAsia" w:eastAsiaTheme="minorEastAsia" w:cstheme="minorEastAsia"/>
                <w:b/>
                <w:bCs/>
                <w:color w:val="auto"/>
                <w:sz w:val="13"/>
                <w:szCs w:val="13"/>
                <w:lang w:val="en-US" w:eastAsia="zh-CN" w:bidi="ar"/>
              </w:rPr>
              <w:t>上年数</w:t>
            </w:r>
          </w:p>
        </w:tc>
        <w:tc>
          <w:tcPr>
            <w:tcW w:w="1159" w:type="dxa"/>
            <w:tcBorders>
              <w:top w:val="single" w:color="000000" w:sz="12" w:space="0"/>
              <w:bottom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bCs/>
                <w:i w:val="0"/>
                <w:color w:val="auto"/>
                <w:sz w:val="13"/>
                <w:szCs w:val="13"/>
                <w:highlight w:val="none"/>
                <w:u w:val="none"/>
              </w:rPr>
            </w:pPr>
            <w:r>
              <w:rPr>
                <w:rStyle w:val="17"/>
                <w:rFonts w:hint="eastAsia" w:asciiTheme="minorEastAsia" w:hAnsiTheme="minorEastAsia" w:eastAsiaTheme="minorEastAsia" w:cstheme="minorEastAsia"/>
                <w:b/>
                <w:bCs/>
                <w:color w:val="auto"/>
                <w:sz w:val="13"/>
                <w:szCs w:val="13"/>
                <w:lang w:val="en-US" w:eastAsia="zh-CN" w:bidi="ar"/>
              </w:rPr>
              <w:t xml:space="preserve">       </w:t>
            </w:r>
            <w:r>
              <w:rPr>
                <w:rStyle w:val="19"/>
                <w:rFonts w:hint="eastAsia" w:asciiTheme="minorEastAsia" w:hAnsiTheme="minorEastAsia" w:eastAsiaTheme="minorEastAsia" w:cstheme="minorEastAsia"/>
                <w:b/>
                <w:bCs/>
                <w:color w:val="auto"/>
                <w:sz w:val="13"/>
                <w:szCs w:val="13"/>
                <w:lang w:val="en-US" w:eastAsia="zh-CN" w:bidi="ar"/>
              </w:rPr>
              <w:t>本年数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6" w:hRule="atLeast"/>
        </w:trPr>
        <w:tc>
          <w:tcPr>
            <w:tcW w:w="1925"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8"/>
                <w:rFonts w:hint="eastAsia" w:asciiTheme="minorEastAsia" w:hAnsiTheme="minorEastAsia" w:eastAsiaTheme="minorEastAsia" w:cstheme="minorEastAsia"/>
                <w:b w:val="0"/>
                <w:bCs w:val="0"/>
                <w:color w:val="auto"/>
                <w:sz w:val="13"/>
                <w:szCs w:val="13"/>
                <w:lang w:val="en-US" w:eastAsia="zh-CN" w:bidi="ar"/>
              </w:rPr>
              <w:t>一、经营活动产生的现金流量：</w:t>
            </w:r>
          </w:p>
        </w:tc>
        <w:tc>
          <w:tcPr>
            <w:tcW w:w="23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w:t>
            </w:r>
          </w:p>
        </w:tc>
        <w:tc>
          <w:tcPr>
            <w:tcW w:w="1159"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162"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74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投资支付的现金</w:t>
            </w:r>
          </w:p>
        </w:tc>
        <w:tc>
          <w:tcPr>
            <w:tcW w:w="43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26</w:t>
            </w:r>
          </w:p>
        </w:tc>
        <w:tc>
          <w:tcPr>
            <w:tcW w:w="107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3,729,298,185.71</w:t>
            </w:r>
          </w:p>
        </w:tc>
        <w:tc>
          <w:tcPr>
            <w:tcW w:w="1159" w:type="dxa"/>
            <w:tcBorders>
              <w:top w:val="single" w:color="000000" w:sz="4" w:space="0"/>
              <w:bottom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2,565,935,444.98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6" w:hRule="atLeast"/>
        </w:trPr>
        <w:tc>
          <w:tcPr>
            <w:tcW w:w="1925"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客户存款和同业存放款项净增加额</w:t>
            </w:r>
          </w:p>
        </w:tc>
        <w:tc>
          <w:tcPr>
            <w:tcW w:w="23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w:t>
            </w:r>
          </w:p>
        </w:tc>
        <w:tc>
          <w:tcPr>
            <w:tcW w:w="1159"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462,058,899.87</w:t>
            </w:r>
          </w:p>
        </w:tc>
        <w:tc>
          <w:tcPr>
            <w:tcW w:w="1162"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595,205,292.60</w:t>
            </w:r>
          </w:p>
        </w:tc>
        <w:tc>
          <w:tcPr>
            <w:tcW w:w="174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6"/>
                <w:rFonts w:hint="eastAsia" w:asciiTheme="minorEastAsia" w:hAnsiTheme="minorEastAsia" w:eastAsiaTheme="minorEastAsia" w:cstheme="minorEastAsia"/>
                <w:b w:val="0"/>
                <w:bCs w:val="0"/>
                <w:color w:val="auto"/>
                <w:sz w:val="13"/>
                <w:szCs w:val="13"/>
                <w:lang w:val="en-US" w:eastAsia="zh-CN" w:bidi="ar"/>
              </w:rPr>
              <w:t xml:space="preserve">  </w:t>
            </w:r>
            <w:r>
              <w:rPr>
                <w:rStyle w:val="26"/>
                <w:rFonts w:hint="eastAsia" w:asciiTheme="minorEastAsia" w:hAnsiTheme="minorEastAsia" w:eastAsiaTheme="minorEastAsia" w:cstheme="minorEastAsia"/>
                <w:b w:val="0"/>
                <w:bCs w:val="0"/>
                <w:color w:val="auto"/>
                <w:sz w:val="13"/>
                <w:szCs w:val="13"/>
                <w:lang w:val="en-US" w:eastAsia="zh-CN" w:bidi="ar"/>
              </w:rPr>
              <w:t>购建固定资产、无形资产和其他长期资产支付的现金</w:t>
            </w:r>
          </w:p>
        </w:tc>
        <w:tc>
          <w:tcPr>
            <w:tcW w:w="43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27</w:t>
            </w:r>
          </w:p>
        </w:tc>
        <w:tc>
          <w:tcPr>
            <w:tcW w:w="107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4,314,505.12</w:t>
            </w:r>
          </w:p>
        </w:tc>
        <w:tc>
          <w:tcPr>
            <w:tcW w:w="1159" w:type="dxa"/>
            <w:tcBorders>
              <w:top w:val="single" w:color="000000" w:sz="4" w:space="0"/>
              <w:bottom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8,615,379.10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554" w:hRule="atLeast"/>
        </w:trPr>
        <w:tc>
          <w:tcPr>
            <w:tcW w:w="1925"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向中央银行借款净增加额</w:t>
            </w:r>
          </w:p>
        </w:tc>
        <w:tc>
          <w:tcPr>
            <w:tcW w:w="23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w:t>
            </w:r>
          </w:p>
        </w:tc>
        <w:tc>
          <w:tcPr>
            <w:tcW w:w="1159"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60,000,000.00</w:t>
            </w:r>
          </w:p>
        </w:tc>
        <w:tc>
          <w:tcPr>
            <w:tcW w:w="1162"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-101,000,000.00</w:t>
            </w:r>
          </w:p>
        </w:tc>
        <w:tc>
          <w:tcPr>
            <w:tcW w:w="174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支付其他与投资活动有关的现金</w:t>
            </w:r>
          </w:p>
        </w:tc>
        <w:tc>
          <w:tcPr>
            <w:tcW w:w="43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28</w:t>
            </w:r>
          </w:p>
        </w:tc>
        <w:tc>
          <w:tcPr>
            <w:tcW w:w="107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159" w:type="dxa"/>
            <w:tcBorders>
              <w:top w:val="single" w:color="000000" w:sz="4" w:space="0"/>
              <w:bottom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25"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向其他金融机构拆入资金净增加额</w:t>
            </w:r>
          </w:p>
        </w:tc>
        <w:tc>
          <w:tcPr>
            <w:tcW w:w="23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w:t>
            </w:r>
          </w:p>
        </w:tc>
        <w:tc>
          <w:tcPr>
            <w:tcW w:w="1159"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162"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74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8"/>
                <w:rFonts w:hint="eastAsia" w:asciiTheme="minorEastAsia" w:hAnsiTheme="minorEastAsia" w:eastAsiaTheme="minorEastAsia" w:cstheme="minorEastAsia"/>
                <w:b w:val="0"/>
                <w:bCs w:val="0"/>
                <w:color w:val="auto"/>
                <w:sz w:val="13"/>
                <w:szCs w:val="13"/>
                <w:lang w:val="en-US" w:eastAsia="zh-CN" w:bidi="ar"/>
              </w:rPr>
              <w:t>投资活动现金流出小计</w:t>
            </w:r>
          </w:p>
        </w:tc>
        <w:tc>
          <w:tcPr>
            <w:tcW w:w="43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29</w:t>
            </w:r>
          </w:p>
        </w:tc>
        <w:tc>
          <w:tcPr>
            <w:tcW w:w="107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3,733,612,690.83</w:t>
            </w:r>
          </w:p>
        </w:tc>
        <w:tc>
          <w:tcPr>
            <w:tcW w:w="1159" w:type="dxa"/>
            <w:tcBorders>
              <w:top w:val="single" w:color="000000" w:sz="4" w:space="0"/>
              <w:bottom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2,574,550,824.08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6" w:hRule="atLeast"/>
        </w:trPr>
        <w:tc>
          <w:tcPr>
            <w:tcW w:w="1925"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收取利息、手续费及佣金的现金</w:t>
            </w:r>
          </w:p>
        </w:tc>
        <w:tc>
          <w:tcPr>
            <w:tcW w:w="23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5</w:t>
            </w:r>
          </w:p>
        </w:tc>
        <w:tc>
          <w:tcPr>
            <w:tcW w:w="1159"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390,111,907.45</w:t>
            </w:r>
          </w:p>
        </w:tc>
        <w:tc>
          <w:tcPr>
            <w:tcW w:w="1162"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374,203,853.40</w:t>
            </w:r>
          </w:p>
        </w:tc>
        <w:tc>
          <w:tcPr>
            <w:tcW w:w="174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8"/>
                <w:rFonts w:hint="eastAsia" w:asciiTheme="minorEastAsia" w:hAnsiTheme="minorEastAsia" w:eastAsiaTheme="minorEastAsia" w:cstheme="minorEastAsia"/>
                <w:b w:val="0"/>
                <w:bCs w:val="0"/>
                <w:color w:val="auto"/>
                <w:sz w:val="13"/>
                <w:szCs w:val="13"/>
                <w:lang w:val="en-US" w:eastAsia="zh-CN" w:bidi="ar"/>
              </w:rPr>
              <w:t>投资活动产生的现金流量净额</w:t>
            </w:r>
          </w:p>
        </w:tc>
        <w:tc>
          <w:tcPr>
            <w:tcW w:w="43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30</w:t>
            </w:r>
          </w:p>
        </w:tc>
        <w:tc>
          <w:tcPr>
            <w:tcW w:w="107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-376,641,064.53</w:t>
            </w:r>
          </w:p>
        </w:tc>
        <w:tc>
          <w:tcPr>
            <w:tcW w:w="1159" w:type="dxa"/>
            <w:tcBorders>
              <w:top w:val="single" w:color="000000" w:sz="4" w:space="0"/>
              <w:bottom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-8,875,074.49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6" w:hRule="atLeast"/>
        </w:trPr>
        <w:tc>
          <w:tcPr>
            <w:tcW w:w="1925"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回购业务资金净增加额</w:t>
            </w:r>
          </w:p>
        </w:tc>
        <w:tc>
          <w:tcPr>
            <w:tcW w:w="23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6</w:t>
            </w:r>
          </w:p>
        </w:tc>
        <w:tc>
          <w:tcPr>
            <w:tcW w:w="1159"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-70,000,000.00</w:t>
            </w:r>
          </w:p>
        </w:tc>
        <w:tc>
          <w:tcPr>
            <w:tcW w:w="1162"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-90,000,000.00</w:t>
            </w:r>
          </w:p>
        </w:tc>
        <w:tc>
          <w:tcPr>
            <w:tcW w:w="174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8"/>
                <w:rFonts w:hint="eastAsia" w:asciiTheme="minorEastAsia" w:hAnsiTheme="minorEastAsia" w:eastAsiaTheme="minorEastAsia" w:cstheme="minorEastAsia"/>
                <w:b w:val="0"/>
                <w:bCs w:val="0"/>
                <w:color w:val="auto"/>
                <w:sz w:val="13"/>
                <w:szCs w:val="13"/>
                <w:lang w:val="en-US" w:eastAsia="zh-CN" w:bidi="ar"/>
              </w:rPr>
              <w:t>三、筹资活动产生的现金流量：</w:t>
            </w:r>
          </w:p>
        </w:tc>
        <w:tc>
          <w:tcPr>
            <w:tcW w:w="43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31</w:t>
            </w:r>
          </w:p>
        </w:tc>
        <w:tc>
          <w:tcPr>
            <w:tcW w:w="107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159" w:type="dxa"/>
            <w:tcBorders>
              <w:top w:val="single" w:color="000000" w:sz="4" w:space="0"/>
              <w:bottom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25"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收到其他与经营活动有关的现金</w:t>
            </w:r>
          </w:p>
        </w:tc>
        <w:tc>
          <w:tcPr>
            <w:tcW w:w="23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7</w:t>
            </w:r>
          </w:p>
        </w:tc>
        <w:tc>
          <w:tcPr>
            <w:tcW w:w="1159"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-99,531,844.44</w:t>
            </w:r>
          </w:p>
        </w:tc>
        <w:tc>
          <w:tcPr>
            <w:tcW w:w="1162"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-66,460,789.71</w:t>
            </w:r>
          </w:p>
        </w:tc>
        <w:tc>
          <w:tcPr>
            <w:tcW w:w="174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吸收投资收到的现金</w:t>
            </w:r>
          </w:p>
        </w:tc>
        <w:tc>
          <w:tcPr>
            <w:tcW w:w="43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32</w:t>
            </w:r>
          </w:p>
        </w:tc>
        <w:tc>
          <w:tcPr>
            <w:tcW w:w="107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159" w:type="dxa"/>
            <w:tcBorders>
              <w:top w:val="single" w:color="000000" w:sz="4" w:space="0"/>
              <w:bottom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25"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8"/>
                <w:rFonts w:hint="eastAsia" w:asciiTheme="minorEastAsia" w:hAnsiTheme="minorEastAsia" w:eastAsiaTheme="minorEastAsia" w:cstheme="minorEastAsia"/>
                <w:b w:val="0"/>
                <w:bCs w:val="0"/>
                <w:color w:val="auto"/>
                <w:sz w:val="13"/>
                <w:szCs w:val="13"/>
                <w:lang w:val="en-US" w:eastAsia="zh-CN" w:bidi="ar"/>
              </w:rPr>
              <w:t>经营活动现金流入小计</w:t>
            </w:r>
          </w:p>
        </w:tc>
        <w:tc>
          <w:tcPr>
            <w:tcW w:w="23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8</w:t>
            </w:r>
          </w:p>
        </w:tc>
        <w:tc>
          <w:tcPr>
            <w:tcW w:w="1159"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742,638,962.88</w:t>
            </w:r>
          </w:p>
        </w:tc>
        <w:tc>
          <w:tcPr>
            <w:tcW w:w="1162"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711,948,356.29</w:t>
            </w:r>
          </w:p>
        </w:tc>
        <w:tc>
          <w:tcPr>
            <w:tcW w:w="174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其中：子公司吸收少数股东投资收到的现金</w:t>
            </w:r>
          </w:p>
        </w:tc>
        <w:tc>
          <w:tcPr>
            <w:tcW w:w="43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33</w:t>
            </w:r>
          </w:p>
        </w:tc>
        <w:tc>
          <w:tcPr>
            <w:tcW w:w="107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159" w:type="dxa"/>
            <w:tcBorders>
              <w:top w:val="single" w:color="000000" w:sz="4" w:space="0"/>
              <w:bottom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6" w:hRule="atLeast"/>
        </w:trPr>
        <w:tc>
          <w:tcPr>
            <w:tcW w:w="1925"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客户贷款及垫款净增加额</w:t>
            </w:r>
          </w:p>
        </w:tc>
        <w:tc>
          <w:tcPr>
            <w:tcW w:w="23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9</w:t>
            </w:r>
          </w:p>
        </w:tc>
        <w:tc>
          <w:tcPr>
            <w:tcW w:w="1159"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519,946,667.80</w:t>
            </w:r>
          </w:p>
        </w:tc>
        <w:tc>
          <w:tcPr>
            <w:tcW w:w="1162"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439,152,968.06</w:t>
            </w:r>
          </w:p>
        </w:tc>
        <w:tc>
          <w:tcPr>
            <w:tcW w:w="174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取得借款收到的现金</w:t>
            </w:r>
          </w:p>
        </w:tc>
        <w:tc>
          <w:tcPr>
            <w:tcW w:w="43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34</w:t>
            </w:r>
          </w:p>
        </w:tc>
        <w:tc>
          <w:tcPr>
            <w:tcW w:w="107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159" w:type="dxa"/>
            <w:tcBorders>
              <w:top w:val="single" w:color="000000" w:sz="4" w:space="0"/>
              <w:bottom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25"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存放中央银行和同业款项净增加额</w:t>
            </w:r>
          </w:p>
        </w:tc>
        <w:tc>
          <w:tcPr>
            <w:tcW w:w="23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10</w:t>
            </w:r>
          </w:p>
        </w:tc>
        <w:tc>
          <w:tcPr>
            <w:tcW w:w="1159"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-2,872,999.16</w:t>
            </w:r>
          </w:p>
        </w:tc>
        <w:tc>
          <w:tcPr>
            <w:tcW w:w="1162"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30,929,934.18</w:t>
            </w:r>
          </w:p>
        </w:tc>
        <w:tc>
          <w:tcPr>
            <w:tcW w:w="174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发行债券收到的现金</w:t>
            </w:r>
          </w:p>
        </w:tc>
        <w:tc>
          <w:tcPr>
            <w:tcW w:w="43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35</w:t>
            </w:r>
          </w:p>
        </w:tc>
        <w:tc>
          <w:tcPr>
            <w:tcW w:w="107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159" w:type="dxa"/>
            <w:tcBorders>
              <w:top w:val="single" w:color="000000" w:sz="4" w:space="0"/>
              <w:bottom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6" w:hRule="atLeast"/>
        </w:trPr>
        <w:tc>
          <w:tcPr>
            <w:tcW w:w="1925"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为交易目的而持有的金融资产净增加额</w:t>
            </w:r>
          </w:p>
        </w:tc>
        <w:tc>
          <w:tcPr>
            <w:tcW w:w="23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11</w:t>
            </w:r>
          </w:p>
        </w:tc>
        <w:tc>
          <w:tcPr>
            <w:tcW w:w="1159"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162"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74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收到其他与筹资活动有关的现金</w:t>
            </w:r>
          </w:p>
        </w:tc>
        <w:tc>
          <w:tcPr>
            <w:tcW w:w="43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36</w:t>
            </w:r>
          </w:p>
        </w:tc>
        <w:tc>
          <w:tcPr>
            <w:tcW w:w="107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159" w:type="dxa"/>
            <w:tcBorders>
              <w:top w:val="single" w:color="000000" w:sz="4" w:space="0"/>
              <w:bottom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6" w:hRule="atLeast"/>
        </w:trPr>
        <w:tc>
          <w:tcPr>
            <w:tcW w:w="1925"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拆出资金净增加额</w:t>
            </w:r>
          </w:p>
        </w:tc>
        <w:tc>
          <w:tcPr>
            <w:tcW w:w="23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12</w:t>
            </w:r>
          </w:p>
        </w:tc>
        <w:tc>
          <w:tcPr>
            <w:tcW w:w="1159" w:type="dxa"/>
            <w:tcBorders>
              <w:top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162" w:type="dxa"/>
            <w:tcBorders>
              <w:top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74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8"/>
                <w:rFonts w:hint="eastAsia" w:asciiTheme="minorEastAsia" w:hAnsiTheme="minorEastAsia" w:eastAsiaTheme="minorEastAsia" w:cstheme="minorEastAsia"/>
                <w:b w:val="0"/>
                <w:bCs w:val="0"/>
                <w:color w:val="auto"/>
                <w:sz w:val="13"/>
                <w:szCs w:val="13"/>
                <w:lang w:val="en-US" w:eastAsia="zh-CN" w:bidi="ar"/>
              </w:rPr>
              <w:t>筹资活动现金流入小计</w:t>
            </w:r>
          </w:p>
        </w:tc>
        <w:tc>
          <w:tcPr>
            <w:tcW w:w="43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37</w:t>
            </w:r>
          </w:p>
        </w:tc>
        <w:tc>
          <w:tcPr>
            <w:tcW w:w="107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0</w:t>
            </w:r>
          </w:p>
        </w:tc>
        <w:tc>
          <w:tcPr>
            <w:tcW w:w="1159" w:type="dxa"/>
            <w:tcBorders>
              <w:top w:val="single" w:color="000000" w:sz="4" w:space="0"/>
              <w:bottom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25"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返售业务资金净增加额</w:t>
            </w:r>
          </w:p>
        </w:tc>
        <w:tc>
          <w:tcPr>
            <w:tcW w:w="230" w:type="dxa"/>
            <w:tcBorders>
              <w:top w:val="single" w:color="000000" w:sz="4" w:space="0"/>
              <w:bottom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13</w:t>
            </w:r>
          </w:p>
        </w:tc>
        <w:tc>
          <w:tcPr>
            <w:tcW w:w="115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 xml:space="preserve"> -400,450,000.00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74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偿还债务支付的现金</w:t>
            </w:r>
          </w:p>
        </w:tc>
        <w:tc>
          <w:tcPr>
            <w:tcW w:w="43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38</w:t>
            </w:r>
          </w:p>
        </w:tc>
        <w:tc>
          <w:tcPr>
            <w:tcW w:w="107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676,421.98</w:t>
            </w:r>
          </w:p>
        </w:tc>
        <w:tc>
          <w:tcPr>
            <w:tcW w:w="1159" w:type="dxa"/>
            <w:tcBorders>
              <w:top w:val="single" w:color="000000" w:sz="4" w:space="0"/>
              <w:bottom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807,196.96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6" w:hRule="atLeast"/>
        </w:trPr>
        <w:tc>
          <w:tcPr>
            <w:tcW w:w="1925"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支付利息、手续费及佣金的现金</w:t>
            </w:r>
          </w:p>
        </w:tc>
        <w:tc>
          <w:tcPr>
            <w:tcW w:w="23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14</w:t>
            </w:r>
          </w:p>
        </w:tc>
        <w:tc>
          <w:tcPr>
            <w:tcW w:w="1159" w:type="dxa"/>
            <w:tcBorders>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130,445,076.46</w:t>
            </w:r>
          </w:p>
        </w:tc>
        <w:tc>
          <w:tcPr>
            <w:tcW w:w="1162" w:type="dxa"/>
            <w:tcBorders>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122,159,244.25</w:t>
            </w:r>
          </w:p>
        </w:tc>
        <w:tc>
          <w:tcPr>
            <w:tcW w:w="174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分配股利、利润或偿付利息支付的现金</w:t>
            </w:r>
          </w:p>
        </w:tc>
        <w:tc>
          <w:tcPr>
            <w:tcW w:w="43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39</w:t>
            </w:r>
          </w:p>
        </w:tc>
        <w:tc>
          <w:tcPr>
            <w:tcW w:w="107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13,688,919.50</w:t>
            </w:r>
          </w:p>
        </w:tc>
        <w:tc>
          <w:tcPr>
            <w:tcW w:w="1159" w:type="dxa"/>
            <w:tcBorders>
              <w:top w:val="single" w:color="000000" w:sz="4" w:space="0"/>
              <w:bottom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13,813,371.96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25"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支付给职工以及为职工支付的现金</w:t>
            </w:r>
          </w:p>
        </w:tc>
        <w:tc>
          <w:tcPr>
            <w:tcW w:w="23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15</w:t>
            </w:r>
          </w:p>
        </w:tc>
        <w:tc>
          <w:tcPr>
            <w:tcW w:w="1159"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51,441,096.06</w:t>
            </w:r>
          </w:p>
        </w:tc>
        <w:tc>
          <w:tcPr>
            <w:tcW w:w="1162"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64,751,823.54</w:t>
            </w:r>
          </w:p>
        </w:tc>
        <w:tc>
          <w:tcPr>
            <w:tcW w:w="174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其中：子公司支付给少数股东的股利、利润</w:t>
            </w:r>
          </w:p>
        </w:tc>
        <w:tc>
          <w:tcPr>
            <w:tcW w:w="43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40</w:t>
            </w:r>
          </w:p>
        </w:tc>
        <w:tc>
          <w:tcPr>
            <w:tcW w:w="107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159" w:type="dxa"/>
            <w:tcBorders>
              <w:top w:val="single" w:color="000000" w:sz="4" w:space="0"/>
              <w:bottom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6" w:hRule="atLeast"/>
        </w:trPr>
        <w:tc>
          <w:tcPr>
            <w:tcW w:w="1925"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支付的各项税费</w:t>
            </w:r>
          </w:p>
        </w:tc>
        <w:tc>
          <w:tcPr>
            <w:tcW w:w="23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16</w:t>
            </w:r>
          </w:p>
        </w:tc>
        <w:tc>
          <w:tcPr>
            <w:tcW w:w="1159"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14,390,875.18</w:t>
            </w:r>
          </w:p>
        </w:tc>
        <w:tc>
          <w:tcPr>
            <w:tcW w:w="1162"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20,977,690.64</w:t>
            </w:r>
          </w:p>
        </w:tc>
        <w:tc>
          <w:tcPr>
            <w:tcW w:w="174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支付其他与筹资活动有关的现金</w:t>
            </w:r>
          </w:p>
        </w:tc>
        <w:tc>
          <w:tcPr>
            <w:tcW w:w="43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41</w:t>
            </w:r>
          </w:p>
        </w:tc>
        <w:tc>
          <w:tcPr>
            <w:tcW w:w="107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159" w:type="dxa"/>
            <w:tcBorders>
              <w:top w:val="single" w:color="000000" w:sz="4" w:space="0"/>
              <w:bottom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25"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支付其他与经营活动有关的现金</w:t>
            </w:r>
          </w:p>
        </w:tc>
        <w:tc>
          <w:tcPr>
            <w:tcW w:w="23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17</w:t>
            </w:r>
          </w:p>
        </w:tc>
        <w:tc>
          <w:tcPr>
            <w:tcW w:w="1159"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31,201,366.47</w:t>
            </w:r>
          </w:p>
        </w:tc>
        <w:tc>
          <w:tcPr>
            <w:tcW w:w="1162"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-788,729.01</w:t>
            </w:r>
          </w:p>
        </w:tc>
        <w:tc>
          <w:tcPr>
            <w:tcW w:w="174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8"/>
                <w:rFonts w:hint="eastAsia" w:asciiTheme="minorEastAsia" w:hAnsiTheme="minorEastAsia" w:eastAsiaTheme="minorEastAsia" w:cstheme="minorEastAsia"/>
                <w:b w:val="0"/>
                <w:bCs w:val="0"/>
                <w:color w:val="auto"/>
                <w:sz w:val="13"/>
                <w:szCs w:val="13"/>
                <w:lang w:val="en-US" w:eastAsia="zh-CN" w:bidi="ar"/>
              </w:rPr>
              <w:t>筹资活动现金流出小计</w:t>
            </w:r>
          </w:p>
        </w:tc>
        <w:tc>
          <w:tcPr>
            <w:tcW w:w="43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42</w:t>
            </w:r>
          </w:p>
        </w:tc>
        <w:tc>
          <w:tcPr>
            <w:tcW w:w="107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14,365,341.48</w:t>
            </w:r>
          </w:p>
        </w:tc>
        <w:tc>
          <w:tcPr>
            <w:tcW w:w="1159" w:type="dxa"/>
            <w:tcBorders>
              <w:top w:val="single" w:color="000000" w:sz="4" w:space="0"/>
              <w:bottom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14,620,568.92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6" w:hRule="atLeast"/>
        </w:trPr>
        <w:tc>
          <w:tcPr>
            <w:tcW w:w="1925"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8"/>
                <w:rFonts w:hint="eastAsia" w:asciiTheme="minorEastAsia" w:hAnsiTheme="minorEastAsia" w:eastAsiaTheme="minorEastAsia" w:cstheme="minorEastAsia"/>
                <w:b w:val="0"/>
                <w:bCs w:val="0"/>
                <w:color w:val="auto"/>
                <w:sz w:val="13"/>
                <w:szCs w:val="13"/>
                <w:lang w:val="en-US" w:eastAsia="zh-CN" w:bidi="ar"/>
              </w:rPr>
              <w:t>经营活动现金流出小计</w:t>
            </w:r>
          </w:p>
        </w:tc>
        <w:tc>
          <w:tcPr>
            <w:tcW w:w="23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18</w:t>
            </w:r>
          </w:p>
        </w:tc>
        <w:tc>
          <w:tcPr>
            <w:tcW w:w="1159"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344,102,082.81</w:t>
            </w:r>
          </w:p>
        </w:tc>
        <w:tc>
          <w:tcPr>
            <w:tcW w:w="1162"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677,182,931.66</w:t>
            </w:r>
          </w:p>
        </w:tc>
        <w:tc>
          <w:tcPr>
            <w:tcW w:w="174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8"/>
                <w:rFonts w:hint="eastAsia" w:asciiTheme="minorEastAsia" w:hAnsiTheme="minorEastAsia" w:eastAsiaTheme="minorEastAsia" w:cstheme="minorEastAsia"/>
                <w:b w:val="0"/>
                <w:bCs w:val="0"/>
                <w:color w:val="auto"/>
                <w:sz w:val="13"/>
                <w:szCs w:val="13"/>
                <w:lang w:val="en-US" w:eastAsia="zh-CN" w:bidi="ar"/>
              </w:rPr>
              <w:t>筹资活动产生的现金流量净额</w:t>
            </w:r>
          </w:p>
        </w:tc>
        <w:tc>
          <w:tcPr>
            <w:tcW w:w="43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43</w:t>
            </w:r>
          </w:p>
        </w:tc>
        <w:tc>
          <w:tcPr>
            <w:tcW w:w="107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-14,365,341.48</w:t>
            </w:r>
          </w:p>
        </w:tc>
        <w:tc>
          <w:tcPr>
            <w:tcW w:w="1159" w:type="dxa"/>
            <w:tcBorders>
              <w:top w:val="single" w:color="000000" w:sz="4" w:space="0"/>
              <w:bottom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-14,620,568.92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6" w:hRule="atLeast"/>
        </w:trPr>
        <w:tc>
          <w:tcPr>
            <w:tcW w:w="1925"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8"/>
                <w:rFonts w:hint="eastAsia" w:asciiTheme="minorEastAsia" w:hAnsiTheme="minorEastAsia" w:eastAsiaTheme="minorEastAsia" w:cstheme="minorEastAsia"/>
                <w:b w:val="0"/>
                <w:bCs w:val="0"/>
                <w:color w:val="auto"/>
                <w:sz w:val="13"/>
                <w:szCs w:val="13"/>
                <w:lang w:val="en-US" w:eastAsia="zh-CN" w:bidi="ar"/>
              </w:rPr>
              <w:t>经营活动产生的现金流量净额</w:t>
            </w:r>
          </w:p>
        </w:tc>
        <w:tc>
          <w:tcPr>
            <w:tcW w:w="23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19</w:t>
            </w:r>
          </w:p>
        </w:tc>
        <w:tc>
          <w:tcPr>
            <w:tcW w:w="1159" w:type="dxa"/>
            <w:tcBorders>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398,536,880.07</w:t>
            </w:r>
          </w:p>
        </w:tc>
        <w:tc>
          <w:tcPr>
            <w:tcW w:w="1162"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34,765,424.63</w:t>
            </w:r>
          </w:p>
        </w:tc>
        <w:tc>
          <w:tcPr>
            <w:tcW w:w="174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8"/>
                <w:rFonts w:hint="eastAsia" w:asciiTheme="minorEastAsia" w:hAnsiTheme="minorEastAsia" w:eastAsiaTheme="minorEastAsia" w:cstheme="minorEastAsia"/>
                <w:b w:val="0"/>
                <w:bCs w:val="0"/>
                <w:color w:val="auto"/>
                <w:sz w:val="13"/>
                <w:szCs w:val="13"/>
                <w:lang w:val="en-US" w:eastAsia="zh-CN" w:bidi="ar"/>
              </w:rPr>
              <w:t>四、汇率变动对现金及现金等价物的影响</w:t>
            </w:r>
          </w:p>
        </w:tc>
        <w:tc>
          <w:tcPr>
            <w:tcW w:w="43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44</w:t>
            </w:r>
          </w:p>
        </w:tc>
        <w:tc>
          <w:tcPr>
            <w:tcW w:w="107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159" w:type="dxa"/>
            <w:tcBorders>
              <w:top w:val="single" w:color="000000" w:sz="4" w:space="0"/>
              <w:bottom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925"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8"/>
                <w:rFonts w:hint="eastAsia" w:asciiTheme="minorEastAsia" w:hAnsiTheme="minorEastAsia" w:eastAsiaTheme="minorEastAsia" w:cstheme="minorEastAsia"/>
                <w:b w:val="0"/>
                <w:bCs w:val="0"/>
                <w:color w:val="auto"/>
                <w:sz w:val="13"/>
                <w:szCs w:val="13"/>
                <w:lang w:val="en-US" w:eastAsia="zh-CN" w:bidi="ar"/>
              </w:rPr>
              <w:t>二、投资活动产生的现金流量：</w:t>
            </w:r>
          </w:p>
        </w:tc>
        <w:tc>
          <w:tcPr>
            <w:tcW w:w="23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20</w:t>
            </w:r>
          </w:p>
        </w:tc>
        <w:tc>
          <w:tcPr>
            <w:tcW w:w="1159"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162"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74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8"/>
                <w:rFonts w:hint="eastAsia" w:asciiTheme="minorEastAsia" w:hAnsiTheme="minorEastAsia" w:eastAsiaTheme="minorEastAsia" w:cstheme="minorEastAsia"/>
                <w:b w:val="0"/>
                <w:bCs w:val="0"/>
                <w:color w:val="auto"/>
                <w:sz w:val="13"/>
                <w:szCs w:val="13"/>
                <w:lang w:val="en-US" w:eastAsia="zh-CN" w:bidi="ar"/>
              </w:rPr>
              <w:t>五、现金及现金等价物净增加额</w:t>
            </w:r>
          </w:p>
        </w:tc>
        <w:tc>
          <w:tcPr>
            <w:tcW w:w="430" w:type="dxa"/>
            <w:gridSpan w:val="2"/>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45</w:t>
            </w:r>
          </w:p>
        </w:tc>
        <w:tc>
          <w:tcPr>
            <w:tcW w:w="1070" w:type="dxa"/>
            <w:tcBorders>
              <w:top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7,530,474.06</w:t>
            </w:r>
          </w:p>
        </w:tc>
        <w:tc>
          <w:tcPr>
            <w:tcW w:w="1159" w:type="dxa"/>
            <w:tcBorders>
              <w:top w:val="single" w:color="000000" w:sz="4" w:space="0"/>
              <w:bottom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11,269,781.22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6" w:hRule="atLeast"/>
        </w:trPr>
        <w:tc>
          <w:tcPr>
            <w:tcW w:w="1925"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收回投资收到的现金</w:t>
            </w:r>
          </w:p>
        </w:tc>
        <w:tc>
          <w:tcPr>
            <w:tcW w:w="230"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21</w:t>
            </w:r>
          </w:p>
        </w:tc>
        <w:tc>
          <w:tcPr>
            <w:tcW w:w="1159"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3,280,004,581.74</w:t>
            </w:r>
          </w:p>
        </w:tc>
        <w:tc>
          <w:tcPr>
            <w:tcW w:w="1162"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2,477,123,141.68</w:t>
            </w:r>
          </w:p>
        </w:tc>
        <w:tc>
          <w:tcPr>
            <w:tcW w:w="1740"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8"/>
                <w:rFonts w:hint="eastAsia" w:asciiTheme="minorEastAsia" w:hAnsiTheme="minorEastAsia" w:eastAsiaTheme="minorEastAsia" w:cstheme="minorEastAsia"/>
                <w:b w:val="0"/>
                <w:bCs w:val="0"/>
                <w:color w:val="auto"/>
                <w:sz w:val="13"/>
                <w:szCs w:val="13"/>
                <w:lang w:val="en-US" w:eastAsia="zh-CN" w:bidi="ar"/>
              </w:rPr>
              <w:t>加：期初现金及现金等价物余额</w:t>
            </w:r>
          </w:p>
        </w:tc>
        <w:tc>
          <w:tcPr>
            <w:tcW w:w="430" w:type="dxa"/>
            <w:gridSpan w:val="2"/>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46</w:t>
            </w:r>
          </w:p>
        </w:tc>
        <w:tc>
          <w:tcPr>
            <w:tcW w:w="1070"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121,126,217.55</w:t>
            </w:r>
          </w:p>
        </w:tc>
        <w:tc>
          <w:tcPr>
            <w:tcW w:w="1159" w:type="dxa"/>
            <w:tcBorders>
              <w:top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128,656,691.63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6" w:hRule="atLeast"/>
        </w:trPr>
        <w:tc>
          <w:tcPr>
            <w:tcW w:w="1925"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取得投资收益收到的现金</w:t>
            </w:r>
          </w:p>
        </w:tc>
        <w:tc>
          <w:tcPr>
            <w:tcW w:w="230"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22</w:t>
            </w:r>
          </w:p>
        </w:tc>
        <w:tc>
          <w:tcPr>
            <w:tcW w:w="1159"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76,567,739.55</w:t>
            </w:r>
          </w:p>
        </w:tc>
        <w:tc>
          <w:tcPr>
            <w:tcW w:w="1162"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84,708,264.58</w:t>
            </w:r>
          </w:p>
        </w:tc>
        <w:tc>
          <w:tcPr>
            <w:tcW w:w="1740"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8"/>
                <w:rFonts w:hint="eastAsia" w:asciiTheme="minorEastAsia" w:hAnsiTheme="minorEastAsia" w:eastAsiaTheme="minorEastAsia" w:cstheme="minorEastAsia"/>
                <w:b w:val="0"/>
                <w:bCs w:val="0"/>
                <w:color w:val="auto"/>
                <w:sz w:val="13"/>
                <w:szCs w:val="13"/>
                <w:lang w:val="en-US" w:eastAsia="zh-CN" w:bidi="ar"/>
              </w:rPr>
              <w:t>六、期末现金及现金等价物余额</w:t>
            </w:r>
          </w:p>
        </w:tc>
        <w:tc>
          <w:tcPr>
            <w:tcW w:w="430" w:type="dxa"/>
            <w:gridSpan w:val="2"/>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47</w:t>
            </w:r>
          </w:p>
        </w:tc>
        <w:tc>
          <w:tcPr>
            <w:tcW w:w="1070"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128,656,691.61</w:t>
            </w:r>
          </w:p>
        </w:tc>
        <w:tc>
          <w:tcPr>
            <w:tcW w:w="1159" w:type="dxa"/>
            <w:tcBorders>
              <w:top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139,926,472.85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6" w:hRule="atLeast"/>
        </w:trPr>
        <w:tc>
          <w:tcPr>
            <w:tcW w:w="1925"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处置固定资产、无形资产和其他长期资产收回的现金净额</w:t>
            </w:r>
          </w:p>
        </w:tc>
        <w:tc>
          <w:tcPr>
            <w:tcW w:w="230"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23</w:t>
            </w:r>
          </w:p>
        </w:tc>
        <w:tc>
          <w:tcPr>
            <w:tcW w:w="1159"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399,305.01</w:t>
            </w:r>
          </w:p>
        </w:tc>
        <w:tc>
          <w:tcPr>
            <w:tcW w:w="1162"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3,844,343.33</w:t>
            </w:r>
          </w:p>
        </w:tc>
        <w:tc>
          <w:tcPr>
            <w:tcW w:w="1740" w:type="dxa"/>
            <w:tcBorders>
              <w:top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430" w:type="dxa"/>
            <w:gridSpan w:val="2"/>
            <w:tcBorders>
              <w:top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070" w:type="dxa"/>
            <w:tcBorders>
              <w:top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159" w:type="dxa"/>
            <w:tcBorders>
              <w:top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6" w:hRule="atLeast"/>
        </w:trPr>
        <w:tc>
          <w:tcPr>
            <w:tcW w:w="1925"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7"/>
                <w:rFonts w:hint="eastAsia" w:asciiTheme="minorEastAsia" w:hAnsiTheme="minorEastAsia" w:eastAsiaTheme="minorEastAsia" w:cstheme="minorEastAsia"/>
                <w:b w:val="0"/>
                <w:bCs w:val="0"/>
                <w:color w:val="auto"/>
                <w:sz w:val="13"/>
                <w:szCs w:val="13"/>
                <w:lang w:val="en-US" w:eastAsia="zh-CN" w:bidi="ar"/>
              </w:rPr>
              <w:t xml:space="preserve">  </w:t>
            </w:r>
            <w:r>
              <w:rPr>
                <w:rStyle w:val="19"/>
                <w:rFonts w:hint="eastAsia" w:asciiTheme="minorEastAsia" w:hAnsiTheme="minorEastAsia" w:eastAsiaTheme="minorEastAsia" w:cstheme="minorEastAsia"/>
                <w:b w:val="0"/>
                <w:bCs w:val="0"/>
                <w:color w:val="auto"/>
                <w:sz w:val="13"/>
                <w:szCs w:val="13"/>
                <w:lang w:val="en-US" w:eastAsia="zh-CN" w:bidi="ar"/>
              </w:rPr>
              <w:t>收到其他与投资活动有关的现金</w:t>
            </w:r>
          </w:p>
        </w:tc>
        <w:tc>
          <w:tcPr>
            <w:tcW w:w="230"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24</w:t>
            </w:r>
          </w:p>
        </w:tc>
        <w:tc>
          <w:tcPr>
            <w:tcW w:w="1159" w:type="dxa"/>
            <w:tcBorders>
              <w:top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162" w:type="dxa"/>
            <w:tcBorders>
              <w:top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740" w:type="dxa"/>
            <w:tcBorders>
              <w:top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430" w:type="dxa"/>
            <w:gridSpan w:val="2"/>
            <w:tcBorders>
              <w:top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070" w:type="dxa"/>
            <w:tcBorders>
              <w:top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159" w:type="dxa"/>
            <w:tcBorders>
              <w:top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15" w:type="dxa"/>
            <w:left w:w="15" w:type="dxa"/>
            <w:bottom w:w="15" w:type="dxa"/>
            <w:right w:w="15" w:type="dxa"/>
          </w:tblCellMar>
        </w:tblPrEx>
        <w:trPr>
          <w:trHeight w:val="286" w:hRule="atLeast"/>
        </w:trPr>
        <w:tc>
          <w:tcPr>
            <w:tcW w:w="1925"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Style w:val="18"/>
                <w:rFonts w:hint="eastAsia" w:asciiTheme="minorEastAsia" w:hAnsiTheme="minorEastAsia" w:eastAsiaTheme="minorEastAsia" w:cstheme="minorEastAsia"/>
                <w:b w:val="0"/>
                <w:bCs w:val="0"/>
                <w:color w:val="auto"/>
                <w:sz w:val="13"/>
                <w:szCs w:val="13"/>
                <w:lang w:val="en-US" w:eastAsia="zh-CN" w:bidi="ar"/>
              </w:rPr>
              <w:t>投资活动现金流入小计</w:t>
            </w:r>
          </w:p>
        </w:tc>
        <w:tc>
          <w:tcPr>
            <w:tcW w:w="230"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25</w:t>
            </w:r>
          </w:p>
        </w:tc>
        <w:tc>
          <w:tcPr>
            <w:tcW w:w="1159"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3,356,971,626.30</w:t>
            </w:r>
          </w:p>
        </w:tc>
        <w:tc>
          <w:tcPr>
            <w:tcW w:w="1162" w:type="dxa"/>
            <w:tcBorders>
              <w:top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auto"/>
                <w:sz w:val="13"/>
                <w:szCs w:val="13"/>
                <w:highlight w:val="none"/>
                <w:u w:val="none"/>
              </w:rPr>
            </w:pPr>
            <w:r>
              <w:rPr>
                <w:rFonts w:hint="eastAsia" w:asciiTheme="minorEastAsia" w:hAnsiTheme="minorEastAsia" w:eastAsiaTheme="minorEastAsia" w:cstheme="minorEastAsia"/>
                <w:b w:val="0"/>
                <w:bCs w:val="0"/>
                <w:i w:val="0"/>
                <w:color w:val="auto"/>
                <w:kern w:val="0"/>
                <w:sz w:val="13"/>
                <w:szCs w:val="13"/>
                <w:u w:val="none"/>
                <w:lang w:val="en-US" w:eastAsia="zh-CN" w:bidi="ar"/>
              </w:rPr>
              <w:t>2,565,675,749.59</w:t>
            </w:r>
          </w:p>
        </w:tc>
        <w:tc>
          <w:tcPr>
            <w:tcW w:w="1740" w:type="dxa"/>
            <w:tcBorders>
              <w:top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430" w:type="dxa"/>
            <w:gridSpan w:val="2"/>
            <w:tcBorders>
              <w:top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070" w:type="dxa"/>
            <w:tcBorders>
              <w:top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c>
          <w:tcPr>
            <w:tcW w:w="1159" w:type="dxa"/>
            <w:tcBorders>
              <w:top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160" w:lineRule="exact"/>
              <w:ind w:left="0" w:leftChars="0" w:right="0" w:rightChars="0" w:firstLine="0" w:firstLineChars="0"/>
              <w:jc w:val="center"/>
              <w:outlineLvl w:val="9"/>
              <w:rPr>
                <w:rFonts w:hint="eastAsia" w:asciiTheme="minorEastAsia" w:hAnsiTheme="minorEastAsia" w:eastAsiaTheme="minorEastAsia" w:cstheme="minorEastAsia"/>
                <w:b w:val="0"/>
                <w:bCs w:val="0"/>
                <w:i w:val="0"/>
                <w:color w:val="auto"/>
                <w:sz w:val="13"/>
                <w:szCs w:val="13"/>
                <w:highlight w:val="none"/>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（二）会计报表附注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1.重要会计政策和会计估计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（1）会计报表编制所依据的会计准则、会计年度、记账本位币、记账基础和计价原则</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①遵循相关制度的声明</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行财务报表以持续经营假设为基础，根据实际发生的交易和事项，按照《企业会计准则——基本准则》和其他各项具体会计准则、应用指南、企业会计准则解释及其他相关规定（以下统称为“企业会计准则”）编制。</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②会计年度</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本行会计年度自公历1月1日起至12月31日止。</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③记账基础和计量原则</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根据企业会计准则的相关规定，本行会计核算以权责发生制为基础。除某些金融工具外，本财务报表均以历史成本为计量基础。资产如果发生减值，则按照相关规定计提相应的减值准备。</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④记账本位币及列报货币</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本行的记账本位币为人民币，编制财务报表采用的货币为人民币。</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⑤持续经营</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本行自本报告期末至少12个月内具备持续经营能力，不存在影响持续经营能力的重大事项，编制财务报表所依据的持续经营假设是合理的。</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eastAsia"/>
          <w:color w:val="auto"/>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（2）贷款的种类和范围</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本行信贷资产包括贷款、信用卡透支、贴现资产、贸易融资、垫款，贷款包括农户贷款、农村经济组织贷款、农村企业贷款和非农贷款等。</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CN" w:bidi="ar-SA"/>
        </w:rPr>
        <w:t>（3）投资核算方法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以摊余成本计量的金融资产。采用实际利率法，按摊余成本进行后续计量。资产负债表日，以预期信用损失为基础，对以摊余成本计量的金融资产的账面价值进行检查，应当计提或冲回减值准备。收回或处置以摊余成本计量的金融资产时，应将取得的价款与该金融资产账面余额之间的差额计入当期损益。</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以公允价值计量且其变动计入其他综合收益的金融资产。包括贴现资产、其他债权投资和其他权益工具投资。贴现资产按照票面或合同金额作为初始确认金额；其他债权投资应当按取得该金融资产的公允价值和相关交易费用之和作为初始确认金额；其他权益工具投资应当按取得该金融资产的公允价值和相关交易费用之和作为初始确认金额。</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以公允价值计量且其变动计入当期损益的金融资产。按照取得时的公允价值作为初始确认金额，相关的交易费用在发生时计入当期损益。资产负债表日，其公允价值变动计入当期损益。处置时，其公允价值与初始入账金额之间的差额应确认为投资收益。</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④长期股权投资。以支付现金取得的长期股权投资初始投资成本包括与取得长期股权投资直接相关的费用、税金及其他必要支出。以发行权益性证券取得的长期股权投资，按照发行权益性证券的公允价值作为初始投资成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（4）计提各项资产减值准备的范围和方法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本行按照预期信用损失法对以摊余成本计量或以公允价值计量且其变动计入其他综合收益的信贷类、非信贷类表内承担信用风险的金融资产及承担信用风险的表外项目计提减值准备。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（5）收入确认原则和方法</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收入主要包括利息收入（含债券投资利息收入）、金融机构往来收入、手续费及佣金收入、其他业务收入等。其中利息收入按照他人使用货币资金的时间和实际利率计算确定。金融机构往来收入按照摊余成本、存续期间和实际利率分期计算确认。手续费及佣金收入按照有关合同或协议约定的收费时间和方法计算确定。其他业务收入主要包括投资性房地产租赁收入、抵债资产租赁收入、管理费收入等，按照实际取得的金额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CN" w:bidi="ar-SA"/>
        </w:rPr>
        <w:t>（6）衍生金融工具的计价方法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本行无衍生金融工具业务。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（7）外币业务和报表折算方法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本行无外币业务。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（8）合并会计报表的编制方法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本行无需编制合并会计报表。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（9）固定资产计价和折旧方法</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固定资产应当按照成本进行初始计量</w:t>
      </w:r>
      <w:r>
        <w:rPr>
          <w:rFonts w:hint="eastAsia" w:ascii="仿宋_GB2312" w:hAnsi="仿宋_GB2312" w:eastAsia="仿宋_GB2312" w:cs="仿宋_GB2312"/>
          <w:color w:val="auto"/>
          <w:sz w:val="32"/>
          <w:szCs w:val="32"/>
          <w:highlight w:val="none"/>
          <w:lang w:val="en-US" w:eastAsia="zh-CN"/>
        </w:rPr>
        <w:t>，并</w:t>
      </w:r>
      <w:r>
        <w:rPr>
          <w:rFonts w:hint="default" w:ascii="仿宋_GB2312" w:hAnsi="仿宋_GB2312" w:eastAsia="仿宋_GB2312" w:cs="仿宋_GB2312"/>
          <w:color w:val="auto"/>
          <w:sz w:val="32"/>
          <w:szCs w:val="32"/>
          <w:highlight w:val="none"/>
          <w:lang w:val="en-US" w:eastAsia="zh-CN"/>
        </w:rPr>
        <w:t>根据与固定资产有关的经济利益的预期实现方式，采用年限平均法</w:t>
      </w:r>
      <w:r>
        <w:rPr>
          <w:rFonts w:hint="eastAsia" w:ascii="仿宋_GB2312" w:hAnsi="仿宋_GB2312" w:eastAsia="仿宋_GB2312" w:cs="仿宋_GB2312"/>
          <w:color w:val="auto"/>
          <w:sz w:val="32"/>
          <w:szCs w:val="32"/>
          <w:highlight w:val="none"/>
          <w:lang w:val="en-US" w:eastAsia="zh-CN"/>
        </w:rPr>
        <w:t>，按月计提折旧，计入当期损益。</w:t>
      </w:r>
    </w:p>
    <w:p>
      <w:pPr>
        <w:ind w:firstLine="640" w:firstLineChars="200"/>
        <w:rPr>
          <w:rFonts w:hint="eastAsia"/>
          <w:color w:val="auto"/>
          <w:highlight w:val="none"/>
          <w:lang w:val="en-US" w:eastAsia="zh-CN"/>
        </w:rPr>
      </w:pPr>
      <w:r>
        <w:rPr>
          <w:rFonts w:hint="default" w:ascii="仿宋_GB2312" w:hAnsi="仿宋_GB2312" w:eastAsia="仿宋_GB2312" w:cs="仿宋_GB2312"/>
          <w:color w:val="auto"/>
          <w:sz w:val="32"/>
          <w:szCs w:val="32"/>
          <w:highlight w:val="none"/>
          <w:lang w:val="en-US" w:eastAsia="zh-CN"/>
        </w:rPr>
        <w:t>本行各类固定资产的预计使用年限和预计净残值率分别为：</w:t>
      </w:r>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tcPr>
          <w:p>
            <w:pPr>
              <w:pStyle w:val="2"/>
              <w:jc w:val="center"/>
              <w:rPr>
                <w:rFonts w:hint="default"/>
                <w:b/>
                <w:bCs/>
                <w:color w:val="auto"/>
                <w:highlight w:val="none"/>
                <w:vertAlign w:val="baseline"/>
                <w:lang w:val="en-US" w:eastAsia="zh-CN"/>
              </w:rPr>
            </w:pPr>
            <w:r>
              <w:rPr>
                <w:rFonts w:hint="default" w:ascii="仿宋_GB2312" w:hAnsi="仿宋_GB2312" w:eastAsia="仿宋_GB2312" w:cs="仿宋_GB2312"/>
                <w:b/>
                <w:bCs/>
                <w:color w:val="auto"/>
                <w:sz w:val="28"/>
                <w:szCs w:val="28"/>
                <w:highlight w:val="none"/>
                <w:lang w:val="en-US" w:eastAsia="zh-CN"/>
              </w:rPr>
              <w:t>类  别</w:t>
            </w:r>
          </w:p>
        </w:tc>
        <w:tc>
          <w:tcPr>
            <w:tcW w:w="3020" w:type="dxa"/>
            <w:tcBorders>
              <w:top w:val="single" w:color="auto" w:sz="4" w:space="0"/>
              <w:left w:val="single" w:color="auto" w:sz="4" w:space="0"/>
              <w:bottom w:val="single" w:color="auto" w:sz="4" w:space="0"/>
              <w:right w:val="single" w:color="auto" w:sz="4" w:space="0"/>
            </w:tcBorders>
          </w:tcPr>
          <w:p>
            <w:pPr>
              <w:pStyle w:val="2"/>
              <w:jc w:val="center"/>
              <w:rPr>
                <w:rFonts w:hint="default"/>
                <w:b/>
                <w:bCs/>
                <w:color w:val="auto"/>
                <w:highlight w:val="none"/>
                <w:vertAlign w:val="baseline"/>
                <w:lang w:val="en-US" w:eastAsia="zh-CN"/>
              </w:rPr>
            </w:pPr>
            <w:r>
              <w:rPr>
                <w:rFonts w:hint="default" w:ascii="仿宋_GB2312" w:hAnsi="仿宋_GB2312" w:eastAsia="仿宋_GB2312" w:cs="仿宋_GB2312"/>
                <w:b/>
                <w:bCs/>
                <w:color w:val="auto"/>
                <w:sz w:val="28"/>
                <w:szCs w:val="28"/>
                <w:highlight w:val="none"/>
                <w:lang w:val="en-US" w:eastAsia="zh-CN"/>
              </w:rPr>
              <w:t>使用年限（年）</w:t>
            </w:r>
          </w:p>
        </w:tc>
        <w:tc>
          <w:tcPr>
            <w:tcW w:w="3021" w:type="dxa"/>
            <w:tcBorders>
              <w:top w:val="single" w:color="auto" w:sz="4" w:space="0"/>
              <w:left w:val="single" w:color="auto" w:sz="4" w:space="0"/>
              <w:bottom w:val="single" w:color="auto" w:sz="4" w:space="0"/>
              <w:right w:val="single" w:color="auto" w:sz="4" w:space="0"/>
            </w:tcBorders>
          </w:tcPr>
          <w:p>
            <w:pPr>
              <w:pStyle w:val="2"/>
              <w:jc w:val="center"/>
              <w:rPr>
                <w:rFonts w:hint="default"/>
                <w:b/>
                <w:bCs/>
                <w:color w:val="auto"/>
                <w:highlight w:val="none"/>
                <w:vertAlign w:val="baseline"/>
                <w:lang w:val="en-US" w:eastAsia="zh-CN"/>
              </w:rPr>
            </w:pPr>
            <w:r>
              <w:rPr>
                <w:rFonts w:hint="default" w:ascii="仿宋_GB2312" w:hAnsi="仿宋_GB2312" w:eastAsia="仿宋_GB2312" w:cs="仿宋_GB2312"/>
                <w:b/>
                <w:bCs/>
                <w:color w:val="auto"/>
                <w:sz w:val="28"/>
                <w:szCs w:val="28"/>
                <w:highlight w:val="none"/>
                <w:lang w:val="en-US" w:eastAsia="zh-CN"/>
              </w:rPr>
              <w:t>残值率（%）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tcPr>
          <w:p>
            <w:pPr>
              <w:pStyle w:val="2"/>
              <w:jc w:val="center"/>
              <w:rPr>
                <w:rFonts w:hint="default"/>
                <w:color w:val="auto"/>
                <w:highlight w:val="none"/>
                <w:vertAlign w:val="baseline"/>
                <w:lang w:val="en-US" w:eastAsia="zh-CN"/>
              </w:rPr>
            </w:pPr>
            <w:r>
              <w:rPr>
                <w:rFonts w:hint="default" w:ascii="仿宋_GB2312" w:hAnsi="仿宋_GB2312" w:eastAsia="仿宋_GB2312" w:cs="仿宋_GB2312"/>
                <w:color w:val="auto"/>
                <w:sz w:val="28"/>
                <w:szCs w:val="28"/>
                <w:highlight w:val="none"/>
                <w:lang w:val="en-US" w:eastAsia="zh-CN"/>
              </w:rPr>
              <w:t>房屋及建筑物</w:t>
            </w:r>
          </w:p>
        </w:tc>
        <w:tc>
          <w:tcPr>
            <w:tcW w:w="302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w:t>
            </w:r>
          </w:p>
        </w:tc>
        <w:tc>
          <w:tcPr>
            <w:tcW w:w="3021"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tcPr>
          <w:p>
            <w:pPr>
              <w:pStyle w:val="2"/>
              <w:jc w:val="center"/>
              <w:rPr>
                <w:rFonts w:hint="default"/>
                <w:color w:val="auto"/>
                <w:highlight w:val="none"/>
                <w:vertAlign w:val="baseline"/>
                <w:lang w:val="en-US" w:eastAsia="zh-CN"/>
              </w:rPr>
            </w:pPr>
            <w:r>
              <w:rPr>
                <w:rFonts w:hint="default" w:ascii="仿宋_GB2312" w:hAnsi="仿宋_GB2312" w:eastAsia="仿宋_GB2312" w:cs="仿宋_GB2312"/>
                <w:color w:val="auto"/>
                <w:sz w:val="28"/>
                <w:szCs w:val="28"/>
                <w:highlight w:val="none"/>
                <w:lang w:val="en-US" w:eastAsia="zh-CN"/>
              </w:rPr>
              <w:t>机器设备</w:t>
            </w:r>
          </w:p>
        </w:tc>
        <w:tc>
          <w:tcPr>
            <w:tcW w:w="302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w:t>
            </w:r>
          </w:p>
        </w:tc>
        <w:tc>
          <w:tcPr>
            <w:tcW w:w="3021"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tcPr>
          <w:p>
            <w:pPr>
              <w:pStyle w:val="2"/>
              <w:jc w:val="center"/>
              <w:rPr>
                <w:rFonts w:hint="default"/>
                <w:color w:val="auto"/>
                <w:highlight w:val="none"/>
                <w:vertAlign w:val="baseline"/>
                <w:lang w:val="en-US" w:eastAsia="zh-CN"/>
              </w:rPr>
            </w:pPr>
            <w:r>
              <w:rPr>
                <w:rFonts w:hint="default" w:ascii="仿宋_GB2312" w:hAnsi="仿宋_GB2312" w:eastAsia="仿宋_GB2312" w:cs="仿宋_GB2312"/>
                <w:color w:val="auto"/>
                <w:sz w:val="28"/>
                <w:szCs w:val="28"/>
                <w:highlight w:val="none"/>
                <w:lang w:val="en-US" w:eastAsia="zh-CN"/>
              </w:rPr>
              <w:t>运输工具</w:t>
            </w:r>
          </w:p>
        </w:tc>
        <w:tc>
          <w:tcPr>
            <w:tcW w:w="302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w:t>
            </w:r>
          </w:p>
        </w:tc>
        <w:tc>
          <w:tcPr>
            <w:tcW w:w="3021"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tcPr>
          <w:p>
            <w:pPr>
              <w:pStyle w:val="2"/>
              <w:jc w:val="center"/>
              <w:rPr>
                <w:rFonts w:hint="default"/>
                <w:color w:val="auto"/>
                <w:highlight w:val="none"/>
                <w:vertAlign w:val="baseline"/>
                <w:lang w:val="en-US" w:eastAsia="zh-CN"/>
              </w:rPr>
            </w:pPr>
            <w:r>
              <w:rPr>
                <w:rFonts w:hint="default" w:ascii="仿宋_GB2312" w:hAnsi="仿宋_GB2312" w:eastAsia="仿宋_GB2312" w:cs="仿宋_GB2312"/>
                <w:color w:val="auto"/>
                <w:sz w:val="28"/>
                <w:szCs w:val="28"/>
                <w:highlight w:val="none"/>
                <w:lang w:val="en-US" w:eastAsia="zh-CN"/>
              </w:rPr>
              <w:t>电子设备</w:t>
            </w:r>
          </w:p>
        </w:tc>
        <w:tc>
          <w:tcPr>
            <w:tcW w:w="302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w:t>
            </w:r>
          </w:p>
        </w:tc>
        <w:tc>
          <w:tcPr>
            <w:tcW w:w="3021"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tcPr>
          <w:p>
            <w:pPr>
              <w:pStyle w:val="2"/>
              <w:jc w:val="center"/>
              <w:rPr>
                <w:rFonts w:hint="default"/>
                <w:color w:val="auto"/>
                <w:highlight w:val="none"/>
                <w:vertAlign w:val="baseline"/>
                <w:lang w:val="en-US" w:eastAsia="zh-CN"/>
              </w:rPr>
            </w:pPr>
            <w:r>
              <w:rPr>
                <w:rFonts w:hint="default" w:ascii="仿宋_GB2312" w:hAnsi="仿宋_GB2312" w:eastAsia="仿宋_GB2312" w:cs="仿宋_GB2312"/>
                <w:color w:val="auto"/>
                <w:sz w:val="28"/>
                <w:szCs w:val="28"/>
                <w:highlight w:val="none"/>
                <w:lang w:val="en-US" w:eastAsia="zh-CN"/>
              </w:rPr>
              <w:t>其他固定资产</w:t>
            </w:r>
          </w:p>
        </w:tc>
        <w:tc>
          <w:tcPr>
            <w:tcW w:w="3020"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5</w:t>
            </w:r>
          </w:p>
        </w:tc>
        <w:tc>
          <w:tcPr>
            <w:tcW w:w="3021"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（10）无形资产计价及摊销政策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本行</w:t>
      </w:r>
      <w:r>
        <w:rPr>
          <w:rFonts w:hint="default" w:ascii="仿宋_GB2312" w:hAnsi="仿宋_GB2312" w:eastAsia="仿宋_GB2312" w:cs="仿宋_GB2312"/>
          <w:color w:val="auto"/>
          <w:sz w:val="32"/>
          <w:szCs w:val="32"/>
          <w:highlight w:val="none"/>
          <w:lang w:val="en-US" w:eastAsia="zh-CN"/>
        </w:rPr>
        <w:t>无形资产按照成本进行初始计量。外购无形资产的成本，包括购买价款、相关税费以及直接归属于使该项资产达到预定用途所发生的其他支出。自行开发的无形资产的成本，包括自开发阶段至达到预定用途前所发生的支出总额，但是对于以前期间已经费用化的支出不再调整。以其他方式取得的无形资产的成本，按照相关规定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default" w:ascii="仿宋_GB2312" w:hAnsi="仿宋_GB2312" w:eastAsia="仿宋_GB2312" w:cs="仿宋_GB2312"/>
          <w:color w:val="auto"/>
          <w:sz w:val="32"/>
          <w:szCs w:val="32"/>
          <w:highlight w:val="none"/>
          <w:lang w:val="en-US" w:eastAsia="zh-CN"/>
        </w:rPr>
        <w:t>使用寿命有限的无形资产，应当自无形资产可供使用时起、至不再作为无形资产确认时止按月平均摊销，摊销金额应当计入当期损益。使用寿命不确定的无形资产不应摊销。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（11）长期待摊费用的摊销政策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长期待摊费用按直线法在受益期间内平均摊销。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（12）所得税的会计处理方法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default" w:ascii="仿宋_GB2312" w:hAnsi="仿宋_GB2312" w:eastAsia="仿宋_GB2312" w:cs="仿宋_GB2312"/>
          <w:color w:val="auto"/>
          <w:sz w:val="32"/>
          <w:szCs w:val="32"/>
          <w:highlight w:val="none"/>
          <w:lang w:val="en-US" w:eastAsia="zh-CN"/>
        </w:rPr>
        <w:t>企业所得税采用应付税款法核算。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2.会计政策和会计估计的变更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 xml:space="preserve"> 本行无需披露的会计政策和会计估计的变更事项。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3.或有事项和资产负债表日后事项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本行无需披露的或有事项及资产负债表日后事项。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重要资产转让及其出售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color w:val="auto"/>
          <w:highlight w:val="none"/>
          <w:lang w:val="en-US" w:eastAsia="zh-CN"/>
        </w:rPr>
      </w:pPr>
      <w:r>
        <w:rPr>
          <w:rFonts w:hint="default" w:ascii="仿宋_GB2312" w:hAnsi="仿宋_GB2312" w:eastAsia="仿宋_GB2312" w:cs="仿宋_GB2312"/>
          <w:color w:val="auto"/>
          <w:sz w:val="32"/>
          <w:szCs w:val="32"/>
          <w:highlight w:val="none"/>
          <w:lang w:val="zh-CN" w:eastAsia="zh-CN"/>
        </w:rPr>
        <w:t>本行无重要资产转让及出售行为。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5.关联交易情况</w:t>
      </w:r>
    </w:p>
    <w:p>
      <w:pPr>
        <w:pStyle w:val="4"/>
        <w:keepNext w:val="0"/>
        <w:keepLines w:val="0"/>
        <w:pageBreakBefore w:val="0"/>
        <w:widowControl w:val="0"/>
        <w:kinsoku/>
        <w:wordWrap/>
        <w:overflowPunct/>
        <w:topLinePunct w:val="0"/>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（1）关联方与商业银行关系的性质</w:t>
      </w:r>
    </w:p>
    <w:p>
      <w:pPr>
        <w:pStyle w:val="4"/>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关联方包含董事、监事、高级管理人员以及具有大额授信、资产转移、保险资金运用等核心业务审批或决策权的人员、以上人员控制或施加重大影响的法人或非法人组织及其近亲属、持有或控制银行保险机构5%以上股权的，或者持股不足5%但对经营管理有重大影响的法人组织及其董事、监事、高级管理人员等，2025年末，本行关联方总数568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（2）关联交易的类型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关联交易分为一般关联交易、重大关联交易。一般关联交易指本行与一个关联方之间单笔交易金额占本行资本净额1%以下，且该笔交易发生后本行与该关联方的交易余额占本行资本净额5%以下的交易。重大关联交易指本行与一个关联方之间单笔交易金额占本行资本净额1%以上，或该笔交易发生后与该关联方的交易余额占本行资本净额5%以上的交易。</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截至</w:t>
      </w:r>
      <w:r>
        <w:rPr>
          <w:rFonts w:hint="eastAsia" w:ascii="仿宋_GB2312" w:hAnsi="仿宋_GB2312" w:eastAsia="仿宋_GB2312" w:cs="仿宋_GB2312"/>
          <w:color w:val="auto"/>
          <w:sz w:val="32"/>
          <w:szCs w:val="32"/>
          <w:highlight w:val="none"/>
          <w:lang w:val="en-US" w:eastAsia="zh-CN"/>
        </w:rPr>
        <w:t>2025年末，</w:t>
      </w:r>
      <w:r>
        <w:rPr>
          <w:rFonts w:hint="eastAsia" w:ascii="仿宋_GB2312" w:hAnsi="仿宋_GB2312" w:eastAsia="仿宋_GB2312" w:cs="仿宋_GB2312"/>
          <w:color w:val="auto"/>
          <w:sz w:val="32"/>
          <w:szCs w:val="32"/>
          <w:highlight w:val="none"/>
        </w:rPr>
        <w:t>本行关联方在本行的关联交易</w:t>
      </w:r>
      <w:r>
        <w:rPr>
          <w:rFonts w:hint="eastAsia" w:ascii="仿宋_GB2312" w:hAnsi="仿宋_GB2312" w:eastAsia="仿宋_GB2312" w:cs="仿宋_GB2312"/>
          <w:color w:val="auto"/>
          <w:sz w:val="32"/>
          <w:szCs w:val="32"/>
          <w:highlight w:val="none"/>
          <w:lang w:eastAsia="zh-CN"/>
        </w:rPr>
        <w:t>有授信类关联交易及非授信类关联交易，</w:t>
      </w:r>
      <w:r>
        <w:rPr>
          <w:rFonts w:hint="eastAsia" w:ascii="仿宋_GB2312" w:hAnsi="仿宋_GB2312" w:eastAsia="仿宋_GB2312" w:cs="仿宋_GB2312"/>
          <w:color w:val="auto"/>
          <w:sz w:val="32"/>
          <w:szCs w:val="32"/>
          <w:highlight w:val="none"/>
        </w:rPr>
        <w:t>均为一般关联交易，无重大关联交易情况。</w:t>
      </w:r>
      <w:r>
        <w:rPr>
          <w:rFonts w:hint="eastAsia" w:ascii="仿宋_GB2312" w:hAnsi="仿宋_GB2312" w:eastAsia="仿宋_GB2312" w:cs="仿宋_GB2312"/>
          <w:color w:val="auto"/>
          <w:sz w:val="32"/>
          <w:szCs w:val="32"/>
          <w:highlight w:val="none"/>
          <w:lang w:eastAsia="zh-CN"/>
        </w:rPr>
        <w:t>授信类关联交易为</w:t>
      </w:r>
      <w:r>
        <w:rPr>
          <w:rFonts w:hint="eastAsia" w:ascii="仿宋_GB2312" w:hAnsi="仿宋_GB2312" w:eastAsia="仿宋_GB2312" w:cs="仿宋_GB2312"/>
          <w:color w:val="auto"/>
          <w:sz w:val="32"/>
          <w:szCs w:val="32"/>
          <w:highlight w:val="none"/>
        </w:rPr>
        <w:t>贷款授信</w:t>
      </w:r>
      <w:r>
        <w:rPr>
          <w:rFonts w:hint="eastAsia" w:ascii="仿宋_GB2312" w:hAnsi="仿宋_GB2312" w:eastAsia="仿宋_GB2312" w:cs="仿宋_GB2312"/>
          <w:color w:val="auto"/>
          <w:sz w:val="32"/>
          <w:szCs w:val="32"/>
          <w:highlight w:val="none"/>
          <w:lang w:eastAsia="zh-CN"/>
        </w:rPr>
        <w:t>及贷款承诺</w:t>
      </w:r>
      <w:r>
        <w:rPr>
          <w:rFonts w:hint="eastAsia" w:ascii="仿宋_GB2312" w:hAnsi="仿宋_GB2312" w:eastAsia="仿宋_GB2312" w:cs="仿宋_GB2312"/>
          <w:color w:val="auto"/>
          <w:sz w:val="32"/>
          <w:szCs w:val="32"/>
          <w:highlight w:val="none"/>
        </w:rPr>
        <w:t>，无贸易融资、票据贴现、透支、债券投资、特定目的载体投资、票据承兑、开立信用证、保理、担保，以及其他实质上由商业银行或商业银行发行理财产品承担信用风险的业务等，</w:t>
      </w:r>
      <w:r>
        <w:rPr>
          <w:rFonts w:hint="eastAsia" w:ascii="仿宋_GB2312" w:hAnsi="仿宋_GB2312" w:eastAsia="仿宋_GB2312" w:cs="仿宋_GB2312"/>
          <w:color w:val="auto"/>
          <w:sz w:val="32"/>
          <w:szCs w:val="32"/>
          <w:highlight w:val="none"/>
          <w:lang w:eastAsia="zh-CN"/>
        </w:rPr>
        <w:t>非授信类关联交易只有关联方存入本行的定期存款，无</w:t>
      </w:r>
      <w:r>
        <w:rPr>
          <w:rFonts w:hint="eastAsia" w:ascii="仿宋_GB2312" w:hAnsi="仿宋_GB2312" w:eastAsia="仿宋_GB2312" w:cs="仿宋_GB2312"/>
          <w:color w:val="auto"/>
          <w:sz w:val="32"/>
          <w:szCs w:val="32"/>
          <w:highlight w:val="none"/>
        </w:rPr>
        <w:t>资产转移类关联交易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服务类关联交易</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rPr>
        <w:t>其他类型关联交易</w:t>
      </w:r>
      <w:r>
        <w:rPr>
          <w:rFonts w:hint="eastAsia" w:ascii="仿宋_GB2312" w:hAnsi="仿宋_GB2312" w:eastAsia="仿宋_GB2312" w:cs="仿宋_GB2312"/>
          <w:color w:val="auto"/>
          <w:sz w:val="32"/>
          <w:szCs w:val="32"/>
          <w:highlight w:val="none"/>
          <w:lang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（3）关联交易的金额及相应比例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授信类关联交易：</w:t>
      </w:r>
      <w:r>
        <w:rPr>
          <w:rFonts w:hint="eastAsia" w:ascii="仿宋_GB2312" w:hAnsi="仿宋_GB2312" w:eastAsia="仿宋_GB2312" w:cs="仿宋_GB2312"/>
          <w:sz w:val="32"/>
          <w:szCs w:val="32"/>
          <w:highlight w:val="none"/>
          <w:lang w:eastAsia="zh-CN"/>
        </w:rPr>
        <w:t>至</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月3</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日止，本行关联方授信</w:t>
      </w:r>
      <w:r>
        <w:rPr>
          <w:rFonts w:hint="eastAsia" w:ascii="仿宋_GB2312" w:hAnsi="仿宋_GB2312" w:eastAsia="仿宋_GB2312" w:cs="仿宋_GB2312"/>
          <w:color w:val="auto"/>
          <w:sz w:val="32"/>
          <w:szCs w:val="32"/>
          <w:highlight w:val="none"/>
          <w:lang w:eastAsia="zh-CN"/>
        </w:rPr>
        <w:t>类关联交易</w:t>
      </w:r>
      <w:r>
        <w:rPr>
          <w:rFonts w:hint="eastAsia" w:ascii="仿宋_GB2312" w:hAnsi="仿宋_GB2312" w:eastAsia="仿宋_GB2312" w:cs="仿宋_GB2312"/>
          <w:sz w:val="32"/>
          <w:szCs w:val="32"/>
          <w:highlight w:val="none"/>
          <w:lang w:val="en-US" w:eastAsia="zh-CN"/>
        </w:rPr>
        <w:t>160笔金额1968.83万元，</w:t>
      </w:r>
      <w:r>
        <w:rPr>
          <w:rFonts w:hint="eastAsia" w:ascii="仿宋_GB2312" w:hAnsi="仿宋_GB2312" w:eastAsia="仿宋_GB2312" w:cs="仿宋_GB2312"/>
          <w:sz w:val="32"/>
          <w:szCs w:val="32"/>
          <w:highlight w:val="none"/>
        </w:rPr>
        <w:t>占资本净额的比例为</w:t>
      </w:r>
      <w:r>
        <w:rPr>
          <w:rFonts w:hint="eastAsia" w:ascii="仿宋_GB2312" w:hAnsi="仿宋_GB2312" w:eastAsia="仿宋_GB2312" w:cs="仿宋_GB2312"/>
          <w:sz w:val="32"/>
          <w:szCs w:val="32"/>
          <w:highlight w:val="none"/>
          <w:lang w:val="en-US" w:eastAsia="zh-CN"/>
        </w:rPr>
        <w:t>1.31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，优于监管要求（≦50%）4</w:t>
      </w:r>
      <w:r>
        <w:rPr>
          <w:rFonts w:hint="eastAsia" w:ascii="仿宋_GB2312" w:hAnsi="仿宋_GB2312" w:eastAsia="仿宋_GB2312" w:cs="仿宋_GB2312"/>
          <w:color w:val="auto"/>
          <w:sz w:val="32"/>
          <w:szCs w:val="32"/>
          <w:highlight w:val="none"/>
          <w:lang w:val="en-US" w:eastAsia="zh-CN"/>
        </w:rPr>
        <w:t>8.69</w:t>
      </w:r>
      <w:r>
        <w:rPr>
          <w:rFonts w:hint="eastAsia" w:ascii="仿宋_GB2312" w:hAnsi="仿宋_GB2312" w:eastAsia="仿宋_GB2312" w:cs="仿宋_GB2312"/>
          <w:color w:val="auto"/>
          <w:sz w:val="32"/>
          <w:szCs w:val="32"/>
          <w:highlight w:val="none"/>
        </w:rPr>
        <w:t>个百分点。</w:t>
      </w:r>
      <w:r>
        <w:rPr>
          <w:rFonts w:hint="eastAsia" w:ascii="仿宋_GB2312" w:hAnsi="仿宋_GB2312" w:eastAsia="仿宋_GB2312" w:cs="仿宋_GB2312"/>
          <w:color w:val="auto"/>
          <w:sz w:val="32"/>
          <w:szCs w:val="32"/>
          <w:highlight w:val="none"/>
          <w:lang w:eastAsia="zh-CN"/>
        </w:rPr>
        <w:t>其中贷款授信</w:t>
      </w:r>
      <w:r>
        <w:rPr>
          <w:rFonts w:hint="eastAsia" w:ascii="仿宋_GB2312" w:hAnsi="仿宋_GB2312" w:eastAsia="仿宋_GB2312" w:cs="仿宋_GB2312"/>
          <w:sz w:val="32"/>
          <w:szCs w:val="32"/>
          <w:highlight w:val="none"/>
          <w:lang w:val="en-US" w:eastAsia="zh-CN"/>
        </w:rPr>
        <w:t>33笔金额1479.90万元</w:t>
      </w:r>
      <w:r>
        <w:rPr>
          <w:rFonts w:hint="eastAsia" w:ascii="仿宋_GB2312" w:hAnsi="仿宋_GB2312" w:eastAsia="仿宋_GB2312" w:cs="仿宋_GB2312"/>
          <w:color w:val="auto"/>
          <w:sz w:val="32"/>
          <w:szCs w:val="32"/>
          <w:highlight w:val="none"/>
          <w:lang w:val="en-US" w:eastAsia="zh-CN"/>
        </w:rPr>
        <w:t>、信用卡授信</w:t>
      </w:r>
      <w:r>
        <w:rPr>
          <w:rFonts w:hint="eastAsia" w:ascii="仿宋_GB2312" w:hAnsi="仿宋_GB2312" w:eastAsia="仿宋_GB2312" w:cs="仿宋_GB2312"/>
          <w:sz w:val="32"/>
          <w:szCs w:val="32"/>
          <w:highlight w:val="none"/>
          <w:lang w:val="en-US" w:eastAsia="zh-CN"/>
        </w:rPr>
        <w:t>127</w:t>
      </w:r>
      <w:r>
        <w:rPr>
          <w:rFonts w:hint="eastAsia" w:ascii="仿宋_GB2312" w:hAnsi="仿宋_GB2312" w:eastAsia="仿宋_GB2312" w:cs="仿宋_GB2312"/>
          <w:color w:val="auto"/>
          <w:sz w:val="32"/>
          <w:szCs w:val="32"/>
          <w:highlight w:val="none"/>
          <w:lang w:val="en-US" w:eastAsia="zh-CN"/>
        </w:rPr>
        <w:t>笔金额</w:t>
      </w:r>
      <w:r>
        <w:rPr>
          <w:rFonts w:hint="eastAsia" w:ascii="仿宋_GB2312" w:hAnsi="仿宋_GB2312" w:eastAsia="仿宋_GB2312" w:cs="仿宋_GB2312"/>
          <w:sz w:val="32"/>
          <w:szCs w:val="32"/>
          <w:highlight w:val="none"/>
          <w:lang w:val="en-US" w:eastAsia="zh-CN"/>
        </w:rPr>
        <w:t>488.93</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rPr>
        <w:t>一般关联交易</w:t>
      </w:r>
      <w:r>
        <w:rPr>
          <w:rFonts w:hint="eastAsia" w:ascii="仿宋_GB2312" w:hAnsi="仿宋_GB2312" w:eastAsia="仿宋_GB2312" w:cs="仿宋_GB2312"/>
          <w:sz w:val="32"/>
          <w:szCs w:val="32"/>
          <w:highlight w:val="none"/>
          <w:lang w:val="en-US" w:eastAsia="zh-CN"/>
        </w:rPr>
        <w:t>无</w:t>
      </w:r>
      <w:r>
        <w:rPr>
          <w:rFonts w:hint="eastAsia" w:ascii="仿宋_GB2312" w:hAnsi="仿宋_GB2312" w:eastAsia="仿宋_GB2312" w:cs="仿宋_GB2312"/>
          <w:color w:val="auto"/>
          <w:sz w:val="32"/>
          <w:szCs w:val="32"/>
          <w:highlight w:val="none"/>
        </w:rPr>
        <w:t>重大关联交易</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本行对最大单个关联方的授信金额</w:t>
      </w:r>
      <w:r>
        <w:rPr>
          <w:rFonts w:hint="eastAsia" w:ascii="仿宋_GB2312" w:hAnsi="仿宋_GB2312" w:eastAsia="仿宋_GB2312" w:cs="仿宋_GB2312"/>
          <w:color w:val="auto"/>
          <w:sz w:val="32"/>
          <w:szCs w:val="32"/>
          <w:highlight w:val="none"/>
          <w:lang w:val="en-US" w:eastAsia="zh-CN"/>
        </w:rPr>
        <w:t>184.15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color w:val="auto"/>
          <w:sz w:val="32"/>
          <w:szCs w:val="32"/>
          <w:highlight w:val="none"/>
        </w:rPr>
        <w:t>本行资本净额的0.</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对最大</w:t>
      </w:r>
      <w:r>
        <w:rPr>
          <w:rFonts w:hint="eastAsia" w:ascii="仿宋_GB2312" w:hAnsi="仿宋_GB2312" w:eastAsia="仿宋_GB2312" w:cs="仿宋_GB2312"/>
          <w:color w:val="auto"/>
          <w:sz w:val="32"/>
          <w:szCs w:val="32"/>
          <w:highlight w:val="none"/>
        </w:rPr>
        <w:t>单个</w:t>
      </w:r>
      <w:r>
        <w:rPr>
          <w:rFonts w:hint="eastAsia" w:ascii="仿宋_GB2312" w:hAnsi="仿宋_GB2312" w:eastAsia="仿宋_GB2312" w:cs="仿宋_GB2312"/>
          <w:color w:val="auto"/>
          <w:sz w:val="32"/>
          <w:szCs w:val="32"/>
          <w:highlight w:val="none"/>
          <w:lang w:eastAsia="zh-CN"/>
        </w:rPr>
        <w:t>关联集团</w:t>
      </w:r>
      <w:r>
        <w:rPr>
          <w:rFonts w:hint="eastAsia" w:ascii="仿宋_GB2312" w:hAnsi="仿宋_GB2312" w:eastAsia="仿宋_GB2312" w:cs="仿宋_GB2312"/>
          <w:color w:val="auto"/>
          <w:sz w:val="32"/>
          <w:szCs w:val="32"/>
          <w:highlight w:val="none"/>
        </w:rPr>
        <w:t>的授信金额</w:t>
      </w:r>
      <w:r>
        <w:rPr>
          <w:rFonts w:hint="eastAsia" w:ascii="仿宋_GB2312" w:hAnsi="仿宋_GB2312" w:eastAsia="仿宋_GB2312" w:cs="仿宋_GB2312"/>
          <w:color w:val="auto"/>
          <w:sz w:val="32"/>
          <w:szCs w:val="32"/>
          <w:highlight w:val="none"/>
          <w:lang w:val="en-US" w:eastAsia="zh-CN"/>
        </w:rPr>
        <w:t>186.80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color w:val="auto"/>
          <w:sz w:val="32"/>
          <w:szCs w:val="32"/>
          <w:highlight w:val="none"/>
        </w:rPr>
        <w:t>本行资本净额的0.</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pStyle w:val="2"/>
        <w:keepNext w:val="0"/>
        <w:keepLines w:val="0"/>
        <w:pageBreakBefore w:val="0"/>
        <w:widowControl w:val="0"/>
        <w:kinsoku/>
        <w:wordWrap/>
        <w:overflowPunct/>
        <w:topLinePunct w:val="0"/>
        <w:bidi w:val="0"/>
        <w:spacing w:before="0" w:line="560" w:lineRule="exact"/>
        <w:ind w:left="0" w:leftChars="0" w:right="0" w:rightChars="0" w:firstLine="643"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sz w:val="32"/>
          <w:szCs w:val="32"/>
          <w:highlight w:val="none"/>
        </w:rPr>
        <w:t>非授信类关联交易：</w:t>
      </w:r>
      <w:r>
        <w:rPr>
          <w:rFonts w:hint="eastAsia" w:ascii="仿宋_GB2312" w:hAnsi="仿宋_GB2312" w:eastAsia="仿宋_GB2312" w:cs="仿宋_GB2312"/>
          <w:sz w:val="32"/>
          <w:szCs w:val="32"/>
          <w:highlight w:val="none"/>
        </w:rPr>
        <w:t>关</w:t>
      </w:r>
      <w:r>
        <w:rPr>
          <w:rFonts w:hint="eastAsia" w:ascii="仿宋_GB2312" w:hAnsi="仿宋_GB2312" w:eastAsia="仿宋_GB2312" w:cs="仿宋_GB2312"/>
          <w:kern w:val="2"/>
          <w:sz w:val="32"/>
          <w:szCs w:val="32"/>
          <w:highlight w:val="none"/>
          <w:lang w:val="en-US" w:eastAsia="zh-CN" w:bidi="ar-SA"/>
        </w:rPr>
        <w:t>联方在本行的非授信类关联交易为关联人定期存款，无其它非授信类关联交易。2025年度，本行关联方在本行发生定期存款交易共335笔金额7667.03万元，均为一般关联交易，无重大关联交易。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6.会计报表重要项目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FF0000"/>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（1）存放同业款项</w:t>
      </w:r>
      <w:r>
        <w:rPr>
          <w:rFonts w:hint="eastAsia" w:ascii="仿宋_GB2312" w:hAnsi="仿宋_GB2312" w:eastAsia="仿宋_GB2312" w:cs="仿宋_GB2312"/>
          <w:color w:val="auto"/>
          <w:sz w:val="32"/>
          <w:szCs w:val="32"/>
          <w:highlight w:val="none"/>
          <w:lang w:val="en-US" w:eastAsia="zh-CN"/>
        </w:rPr>
        <w:t>（按存放境内、境外同业披露年初数和期末数，金额单位：人民币/万元，自己设计表格）</w:t>
      </w:r>
    </w:p>
    <w:p>
      <w:pPr>
        <w:pStyle w:val="2"/>
        <w:jc w:val="righ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金额单位：</w:t>
      </w:r>
      <w:r>
        <w:rPr>
          <w:rFonts w:hint="eastAsia" w:ascii="仿宋_GB2312" w:hAnsi="仿宋_GB2312" w:eastAsia="仿宋_GB2312" w:cs="仿宋_GB2312"/>
          <w:color w:val="auto"/>
          <w:sz w:val="32"/>
          <w:szCs w:val="32"/>
          <w:highlight w:val="none"/>
          <w:lang w:val="en-US" w:eastAsia="zh-CN"/>
        </w:rPr>
        <w:t>人民币/万元</w:t>
      </w:r>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项目</w:t>
            </w:r>
          </w:p>
        </w:tc>
        <w:tc>
          <w:tcPr>
            <w:tcW w:w="3020"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期初余额</w:t>
            </w:r>
          </w:p>
        </w:tc>
        <w:tc>
          <w:tcPr>
            <w:tcW w:w="3021"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sz w:val="32"/>
                <w:szCs w:val="32"/>
                <w:highlight w:val="none"/>
                <w:lang w:val="en-US" w:eastAsia="zh-CN"/>
              </w:rPr>
              <w:t>存放境内同业款项</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19000</w:t>
            </w:r>
          </w:p>
        </w:tc>
        <w:tc>
          <w:tcPr>
            <w:tcW w:w="302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sz w:val="32"/>
                <w:szCs w:val="32"/>
                <w:highlight w:val="none"/>
                <w:lang w:val="en-US" w:eastAsia="zh-CN"/>
              </w:rPr>
              <w:t>存放境外同业款项</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0</w:t>
            </w:r>
          </w:p>
        </w:tc>
        <w:tc>
          <w:tcPr>
            <w:tcW w:w="302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eastAsia="zh-CN"/>
              </w:rPr>
              <w:t>合计</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19000</w:t>
            </w:r>
          </w:p>
        </w:tc>
        <w:tc>
          <w:tcPr>
            <w:tcW w:w="302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19000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（2）拆放同业款项</w:t>
      </w:r>
    </w:p>
    <w:p>
      <w:pPr>
        <w:pStyle w:val="2"/>
        <w:jc w:val="righ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金额单位：</w:t>
      </w:r>
      <w:r>
        <w:rPr>
          <w:rFonts w:hint="eastAsia" w:ascii="仿宋_GB2312" w:hAnsi="仿宋_GB2312" w:eastAsia="仿宋_GB2312" w:cs="仿宋_GB2312"/>
          <w:color w:val="auto"/>
          <w:sz w:val="32"/>
          <w:szCs w:val="32"/>
          <w:highlight w:val="none"/>
          <w:lang w:val="en-US" w:eastAsia="zh-CN"/>
        </w:rPr>
        <w:t>人民币/万元</w:t>
      </w:r>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项目</w:t>
            </w:r>
          </w:p>
        </w:tc>
        <w:tc>
          <w:tcPr>
            <w:tcW w:w="3020"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期初余额</w:t>
            </w:r>
          </w:p>
        </w:tc>
        <w:tc>
          <w:tcPr>
            <w:tcW w:w="3021"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sz w:val="32"/>
                <w:szCs w:val="32"/>
                <w:highlight w:val="none"/>
                <w:lang w:val="en-US" w:eastAsia="zh-CN"/>
              </w:rPr>
              <w:t>拆放境内同业款项</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0</w:t>
            </w:r>
          </w:p>
        </w:tc>
        <w:tc>
          <w:tcPr>
            <w:tcW w:w="302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sz w:val="32"/>
                <w:szCs w:val="32"/>
                <w:highlight w:val="none"/>
                <w:lang w:val="en-US" w:eastAsia="zh-CN"/>
              </w:rPr>
              <w:t>拆放境外同业款项</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0</w:t>
            </w:r>
          </w:p>
        </w:tc>
        <w:tc>
          <w:tcPr>
            <w:tcW w:w="302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eastAsia="zh-CN"/>
              </w:rPr>
              <w:t>合计</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0</w:t>
            </w:r>
          </w:p>
        </w:tc>
        <w:tc>
          <w:tcPr>
            <w:tcW w:w="302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（3）贷款发放情况</w:t>
      </w:r>
    </w:p>
    <w:p>
      <w:pPr>
        <w:pStyle w:val="2"/>
        <w:jc w:val="righ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金额单位：</w:t>
      </w:r>
      <w:r>
        <w:rPr>
          <w:rFonts w:hint="eastAsia" w:ascii="仿宋_GB2312" w:hAnsi="仿宋_GB2312" w:eastAsia="仿宋_GB2312" w:cs="仿宋_GB2312"/>
          <w:color w:val="auto"/>
          <w:sz w:val="32"/>
          <w:szCs w:val="32"/>
          <w:highlight w:val="none"/>
          <w:lang w:val="en-US" w:eastAsia="zh-CN"/>
        </w:rPr>
        <w:t>人民币/万元</w:t>
      </w:r>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项目</w:t>
            </w:r>
          </w:p>
        </w:tc>
        <w:tc>
          <w:tcPr>
            <w:tcW w:w="3020"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期初余额</w:t>
            </w:r>
          </w:p>
        </w:tc>
        <w:tc>
          <w:tcPr>
            <w:tcW w:w="3021"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eastAsia="zh-CN"/>
              </w:rPr>
              <w:t>信用贷款</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473215.55</w:t>
            </w:r>
          </w:p>
        </w:tc>
        <w:tc>
          <w:tcPr>
            <w:tcW w:w="302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492090.01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eastAsia="zh-CN"/>
              </w:rPr>
              <w:t>保证贷款</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57039.31</w:t>
            </w:r>
          </w:p>
        </w:tc>
        <w:tc>
          <w:tcPr>
            <w:tcW w:w="302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60935.98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eastAsia="zh-CN"/>
              </w:rPr>
              <w:t>抵押贷款</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165269.28</w:t>
            </w:r>
          </w:p>
        </w:tc>
        <w:tc>
          <w:tcPr>
            <w:tcW w:w="302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167996.68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eastAsia="zh-CN"/>
              </w:rPr>
              <w:t>质押贷款</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2704.5</w:t>
            </w:r>
          </w:p>
        </w:tc>
        <w:tc>
          <w:tcPr>
            <w:tcW w:w="302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2849</w:t>
            </w:r>
          </w:p>
        </w:tc>
      </w:tr>
    </w:tbl>
    <w:p>
      <w:pPr>
        <w:rPr>
          <w:rFonts w:hint="eastAsia"/>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（4）不良贷款情况</w:t>
      </w:r>
    </w:p>
    <w:p>
      <w:pPr>
        <w:pStyle w:val="2"/>
        <w:jc w:val="righ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金额单位：</w:t>
      </w:r>
      <w:r>
        <w:rPr>
          <w:rFonts w:hint="eastAsia" w:ascii="仿宋_GB2312" w:hAnsi="仿宋_GB2312" w:eastAsia="仿宋_GB2312" w:cs="仿宋_GB2312"/>
          <w:color w:val="auto"/>
          <w:sz w:val="32"/>
          <w:szCs w:val="32"/>
          <w:highlight w:val="none"/>
          <w:lang w:val="en-US" w:eastAsia="zh-CN"/>
        </w:rPr>
        <w:t>人民币/万元</w:t>
      </w:r>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项目</w:t>
            </w:r>
          </w:p>
        </w:tc>
        <w:tc>
          <w:tcPr>
            <w:tcW w:w="3020"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期初余额</w:t>
            </w:r>
          </w:p>
        </w:tc>
        <w:tc>
          <w:tcPr>
            <w:tcW w:w="3021"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sz w:val="30"/>
                <w:szCs w:val="30"/>
                <w:highlight w:val="none"/>
                <w:vertAlign w:val="baseline"/>
                <w:lang w:eastAsia="zh-CN"/>
              </w:rPr>
            </w:pPr>
            <w:r>
              <w:rPr>
                <w:rFonts w:hint="eastAsia" w:ascii="仿宋_GB2312" w:hAnsi="仿宋_GB2312" w:eastAsia="仿宋_GB2312" w:cs="仿宋_GB2312"/>
                <w:color w:val="auto"/>
                <w:kern w:val="0"/>
                <w:sz w:val="30"/>
                <w:szCs w:val="30"/>
                <w:highlight w:val="none"/>
              </w:rPr>
              <w:t>正常</w:t>
            </w:r>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728912.32</w:t>
            </w:r>
          </w:p>
        </w:tc>
        <w:tc>
          <w:tcPr>
            <w:tcW w:w="30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773868.53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sz w:val="30"/>
                <w:szCs w:val="30"/>
                <w:highlight w:val="none"/>
                <w:vertAlign w:val="baseline"/>
                <w:lang w:eastAsia="zh-CN"/>
              </w:rPr>
            </w:pPr>
            <w:r>
              <w:rPr>
                <w:rFonts w:hint="eastAsia" w:ascii="仿宋_GB2312" w:hAnsi="仿宋_GB2312" w:eastAsia="仿宋_GB2312" w:cs="仿宋_GB2312"/>
                <w:color w:val="auto"/>
                <w:kern w:val="0"/>
                <w:sz w:val="30"/>
                <w:szCs w:val="30"/>
                <w:highlight w:val="none"/>
              </w:rPr>
              <w:t>关注</w:t>
            </w:r>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11079.78</w:t>
            </w:r>
          </w:p>
        </w:tc>
        <w:tc>
          <w:tcPr>
            <w:tcW w:w="30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11077.1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sz w:val="30"/>
                <w:szCs w:val="30"/>
                <w:highlight w:val="none"/>
                <w:vertAlign w:val="baseline"/>
                <w:lang w:eastAsia="zh-CN"/>
              </w:rPr>
            </w:pPr>
            <w:r>
              <w:rPr>
                <w:rFonts w:hint="eastAsia" w:ascii="仿宋_GB2312" w:hAnsi="仿宋_GB2312" w:eastAsia="仿宋_GB2312" w:cs="仿宋_GB2312"/>
                <w:color w:val="auto"/>
                <w:kern w:val="0"/>
                <w:sz w:val="30"/>
                <w:szCs w:val="30"/>
                <w:highlight w:val="none"/>
              </w:rPr>
              <w:t>次级</w:t>
            </w:r>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6017.2</w:t>
            </w:r>
          </w:p>
        </w:tc>
        <w:tc>
          <w:tcPr>
            <w:tcW w:w="30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8288.93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sz w:val="30"/>
                <w:szCs w:val="30"/>
                <w:highlight w:val="none"/>
                <w:vertAlign w:val="baseline"/>
                <w:lang w:eastAsia="zh-CN"/>
              </w:rPr>
            </w:pPr>
            <w:r>
              <w:rPr>
                <w:rFonts w:hint="eastAsia" w:ascii="仿宋_GB2312" w:hAnsi="仿宋_GB2312" w:eastAsia="仿宋_GB2312" w:cs="仿宋_GB2312"/>
                <w:color w:val="auto"/>
                <w:kern w:val="0"/>
                <w:sz w:val="30"/>
                <w:szCs w:val="30"/>
                <w:highlight w:val="none"/>
              </w:rPr>
              <w:t>可疑</w:t>
            </w:r>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4577.91</w:t>
            </w:r>
          </w:p>
        </w:tc>
        <w:tc>
          <w:tcPr>
            <w:tcW w:w="30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1062.73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sz w:val="30"/>
                <w:szCs w:val="30"/>
                <w:highlight w:val="none"/>
                <w:vertAlign w:val="baseline"/>
                <w:lang w:eastAsia="zh-CN"/>
              </w:rPr>
            </w:pPr>
            <w:r>
              <w:rPr>
                <w:rFonts w:hint="eastAsia" w:ascii="仿宋_GB2312" w:hAnsi="仿宋_GB2312" w:eastAsia="仿宋_GB2312" w:cs="仿宋_GB2312"/>
                <w:color w:val="auto"/>
                <w:kern w:val="0"/>
                <w:sz w:val="30"/>
                <w:szCs w:val="30"/>
                <w:highlight w:val="none"/>
              </w:rPr>
              <w:t>损失</w:t>
            </w:r>
          </w:p>
        </w:tc>
        <w:tc>
          <w:tcPr>
            <w:tcW w:w="302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2317.77</w:t>
            </w:r>
          </w:p>
        </w:tc>
        <w:tc>
          <w:tcPr>
            <w:tcW w:w="30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2522.99</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color w:val="auto"/>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（5）贷款损失准备</w:t>
      </w:r>
    </w:p>
    <w:p>
      <w:pPr>
        <w:pStyle w:val="2"/>
        <w:jc w:val="right"/>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eastAsia="zh-CN"/>
        </w:rPr>
        <w:t>金额单位：</w:t>
      </w:r>
      <w:r>
        <w:rPr>
          <w:rFonts w:hint="eastAsia" w:ascii="仿宋_GB2312" w:hAnsi="仿宋_GB2312" w:eastAsia="仿宋_GB2312" w:cs="仿宋_GB2312"/>
          <w:color w:val="auto"/>
          <w:sz w:val="30"/>
          <w:szCs w:val="30"/>
          <w:highlight w:val="none"/>
          <w:lang w:val="en-US" w:eastAsia="zh-CN"/>
        </w:rPr>
        <w:t>人民币/万元</w:t>
      </w:r>
    </w:p>
    <w:tbl>
      <w:tblPr>
        <w:tblStyle w:val="14"/>
        <w:tblW w:w="9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1500"/>
        <w:gridCol w:w="1830"/>
        <w:gridCol w:w="2188"/>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54" w:type="dxa"/>
            <w:tcBorders>
              <w:top w:val="single" w:color="auto" w:sz="4" w:space="0"/>
              <w:lef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30"/>
                <w:szCs w:val="30"/>
                <w:highlight w:val="none"/>
              </w:rPr>
            </w:pPr>
            <w:r>
              <w:rPr>
                <w:rFonts w:hint="default" w:ascii="仿宋_GB2312" w:hAnsi="仿宋_GB2312" w:eastAsia="仿宋_GB2312" w:cs="仿宋_GB2312"/>
                <w:b/>
                <w:bCs/>
                <w:color w:val="auto"/>
                <w:sz w:val="30"/>
                <w:szCs w:val="30"/>
                <w:highlight w:val="none"/>
              </w:rPr>
              <w:t>项  目</w:t>
            </w:r>
          </w:p>
        </w:tc>
        <w:tc>
          <w:tcPr>
            <w:tcW w:w="1500"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30"/>
                <w:szCs w:val="30"/>
                <w:highlight w:val="none"/>
              </w:rPr>
            </w:pPr>
            <w:r>
              <w:rPr>
                <w:rFonts w:hint="default" w:ascii="仿宋_GB2312" w:hAnsi="仿宋_GB2312" w:eastAsia="仿宋_GB2312" w:cs="仿宋_GB2312"/>
                <w:b/>
                <w:bCs/>
                <w:color w:val="auto"/>
                <w:sz w:val="30"/>
                <w:szCs w:val="30"/>
                <w:highlight w:val="none"/>
              </w:rPr>
              <w:t>期初余额</w:t>
            </w:r>
          </w:p>
        </w:tc>
        <w:tc>
          <w:tcPr>
            <w:tcW w:w="1830"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30"/>
                <w:szCs w:val="30"/>
                <w:highlight w:val="none"/>
                <w:lang w:val="en-US" w:eastAsia="zh-CN"/>
              </w:rPr>
            </w:pPr>
            <w:r>
              <w:rPr>
                <w:rFonts w:hint="default" w:ascii="仿宋_GB2312" w:hAnsi="仿宋_GB2312" w:eastAsia="仿宋_GB2312" w:cs="仿宋_GB2312"/>
                <w:b/>
                <w:bCs/>
                <w:color w:val="auto"/>
                <w:sz w:val="30"/>
                <w:szCs w:val="30"/>
                <w:highlight w:val="none"/>
                <w:lang w:eastAsia="zh-CN"/>
              </w:rPr>
              <w:t>本年计提</w:t>
            </w:r>
          </w:p>
        </w:tc>
        <w:tc>
          <w:tcPr>
            <w:tcW w:w="2188"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30"/>
                <w:szCs w:val="30"/>
                <w:highlight w:val="none"/>
                <w:lang w:val="en-US" w:eastAsia="zh-CN"/>
              </w:rPr>
            </w:pPr>
            <w:r>
              <w:rPr>
                <w:rFonts w:hint="default" w:ascii="仿宋_GB2312" w:hAnsi="仿宋_GB2312" w:eastAsia="仿宋_GB2312" w:cs="仿宋_GB2312"/>
                <w:b/>
                <w:bCs/>
                <w:color w:val="auto"/>
                <w:sz w:val="30"/>
                <w:szCs w:val="30"/>
                <w:highlight w:val="none"/>
                <w:lang w:eastAsia="zh-CN"/>
              </w:rPr>
              <w:t>本期冲销</w:t>
            </w:r>
            <w:r>
              <w:rPr>
                <w:rFonts w:hint="default" w:ascii="仿宋_GB2312" w:hAnsi="仿宋_GB2312" w:eastAsia="仿宋_GB2312" w:cs="仿宋_GB2312"/>
                <w:b/>
                <w:bCs/>
                <w:color w:val="auto"/>
                <w:sz w:val="30"/>
                <w:szCs w:val="30"/>
                <w:highlight w:val="none"/>
                <w:lang w:val="en-US" w:eastAsia="zh-CN"/>
              </w:rPr>
              <w:t>/转回</w:t>
            </w:r>
          </w:p>
        </w:tc>
        <w:tc>
          <w:tcPr>
            <w:tcW w:w="1724" w:type="dxa"/>
            <w:tcBorders>
              <w:top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30"/>
                <w:szCs w:val="30"/>
                <w:highlight w:val="none"/>
              </w:rPr>
            </w:pPr>
            <w:r>
              <w:rPr>
                <w:rFonts w:hint="default" w:ascii="仿宋_GB2312" w:hAnsi="仿宋_GB2312" w:eastAsia="仿宋_GB2312" w:cs="仿宋_GB2312"/>
                <w:b/>
                <w:bCs/>
                <w:color w:val="auto"/>
                <w:sz w:val="30"/>
                <w:szCs w:val="30"/>
                <w:highlight w:val="none"/>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54" w:type="dxa"/>
            <w:tcBorders>
              <w:lef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rPr>
            </w:pPr>
            <w:r>
              <w:rPr>
                <w:rFonts w:hint="default" w:ascii="仿宋_GB2312" w:hAnsi="仿宋_GB2312" w:eastAsia="仿宋_GB2312" w:cs="仿宋_GB2312"/>
                <w:color w:val="auto"/>
                <w:sz w:val="30"/>
                <w:szCs w:val="30"/>
                <w:highlight w:val="none"/>
              </w:rPr>
              <w:t>贷款损失准备</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51093.34</w:t>
            </w:r>
          </w:p>
        </w:tc>
        <w:tc>
          <w:tcPr>
            <w:tcW w:w="18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119,729.44</w:t>
            </w:r>
          </w:p>
        </w:tc>
        <w:tc>
          <w:tcPr>
            <w:tcW w:w="21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123,452.49</w:t>
            </w:r>
          </w:p>
        </w:tc>
        <w:tc>
          <w:tcPr>
            <w:tcW w:w="1724" w:type="dxa"/>
            <w:tcBorders>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sz w:val="28"/>
                <w:szCs w:val="28"/>
                <w:highlight w:val="none"/>
                <w:lang w:val="en-US" w:eastAsia="zh-CN"/>
              </w:rPr>
              <w:t>47370.2</w:t>
            </w:r>
            <w:r>
              <w:rPr>
                <w:rFonts w:hint="eastAsia" w:ascii="仿宋_GB2312" w:hAnsi="仿宋_GB2312" w:eastAsia="仿宋_GB2312" w:cs="仿宋_GB2312"/>
                <w:color w:val="auto"/>
                <w:sz w:val="28"/>
                <w:szCs w:val="28"/>
                <w:highlight w:val="none"/>
                <w:lang w:val="en-US" w:eastAsia="zh-CN"/>
              </w:rPr>
              <w:t>9</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right"/>
        <w:textAlignment w:val="auto"/>
        <w:outlineLvl w:val="9"/>
        <w:rPr>
          <w:rFonts w:hint="eastAsia" w:ascii="仿宋_GB2312" w:hAnsi="仿宋_GB2312" w:eastAsia="仿宋_GB2312" w:cs="仿宋_GB2312"/>
          <w:color w:val="auto"/>
          <w:sz w:val="30"/>
          <w:szCs w:val="30"/>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right"/>
        <w:textAlignment w:val="auto"/>
        <w:outlineLvl w:val="9"/>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eastAsia="zh-CN"/>
        </w:rPr>
        <w:t>金额单位：</w:t>
      </w:r>
      <w:r>
        <w:rPr>
          <w:rFonts w:hint="eastAsia" w:ascii="仿宋_GB2312" w:hAnsi="仿宋_GB2312" w:eastAsia="仿宋_GB2312" w:cs="仿宋_GB2312"/>
          <w:color w:val="auto"/>
          <w:sz w:val="30"/>
          <w:szCs w:val="30"/>
          <w:highlight w:val="none"/>
          <w:lang w:val="en-US" w:eastAsia="zh-CN"/>
        </w:rPr>
        <w:t>人民币/万元</w:t>
      </w:r>
    </w:p>
    <w:tbl>
      <w:tblPr>
        <w:tblStyle w:val="14"/>
        <w:tblW w:w="9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1608"/>
        <w:gridCol w:w="1836"/>
        <w:gridCol w:w="2074"/>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54" w:type="dxa"/>
            <w:tcBorders>
              <w:top w:val="single" w:color="auto" w:sz="4" w:space="0"/>
              <w:lef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30"/>
                <w:szCs w:val="30"/>
                <w:highlight w:val="none"/>
              </w:rPr>
            </w:pPr>
            <w:r>
              <w:rPr>
                <w:rFonts w:hint="default" w:ascii="仿宋_GB2312" w:hAnsi="仿宋_GB2312" w:eastAsia="仿宋_GB2312" w:cs="仿宋_GB2312"/>
                <w:b/>
                <w:bCs/>
                <w:color w:val="auto"/>
                <w:sz w:val="30"/>
                <w:szCs w:val="30"/>
                <w:highlight w:val="none"/>
              </w:rPr>
              <w:t>项  目</w:t>
            </w:r>
          </w:p>
        </w:tc>
        <w:tc>
          <w:tcPr>
            <w:tcW w:w="1608"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30"/>
                <w:szCs w:val="30"/>
                <w:highlight w:val="none"/>
              </w:rPr>
            </w:pPr>
            <w:r>
              <w:rPr>
                <w:rFonts w:hint="default" w:ascii="仿宋_GB2312" w:hAnsi="仿宋_GB2312" w:eastAsia="仿宋_GB2312" w:cs="仿宋_GB2312"/>
                <w:b/>
                <w:bCs/>
                <w:color w:val="auto"/>
                <w:sz w:val="30"/>
                <w:szCs w:val="30"/>
                <w:highlight w:val="none"/>
              </w:rPr>
              <w:t>期初余额</w:t>
            </w:r>
          </w:p>
        </w:tc>
        <w:tc>
          <w:tcPr>
            <w:tcW w:w="1836"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30"/>
                <w:szCs w:val="30"/>
                <w:highlight w:val="none"/>
                <w:lang w:val="en-US" w:eastAsia="zh-CN"/>
              </w:rPr>
            </w:pPr>
            <w:r>
              <w:rPr>
                <w:rFonts w:hint="default" w:ascii="仿宋_GB2312" w:hAnsi="仿宋_GB2312" w:eastAsia="仿宋_GB2312" w:cs="仿宋_GB2312"/>
                <w:b/>
                <w:bCs/>
                <w:color w:val="auto"/>
                <w:sz w:val="30"/>
                <w:szCs w:val="30"/>
                <w:highlight w:val="none"/>
                <w:lang w:val="en-US" w:eastAsia="zh-CN"/>
              </w:rPr>
              <w:t>本年增加数</w:t>
            </w:r>
          </w:p>
        </w:tc>
        <w:tc>
          <w:tcPr>
            <w:tcW w:w="2074"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30"/>
                <w:szCs w:val="30"/>
                <w:highlight w:val="none"/>
                <w:lang w:val="en-US" w:eastAsia="zh-CN"/>
              </w:rPr>
            </w:pPr>
            <w:r>
              <w:rPr>
                <w:rFonts w:hint="default" w:ascii="仿宋_GB2312" w:hAnsi="仿宋_GB2312" w:eastAsia="仿宋_GB2312" w:cs="仿宋_GB2312"/>
                <w:b/>
                <w:bCs/>
                <w:color w:val="auto"/>
                <w:sz w:val="30"/>
                <w:szCs w:val="30"/>
                <w:highlight w:val="none"/>
                <w:lang w:val="en-US" w:eastAsia="zh-CN"/>
              </w:rPr>
              <w:t>　本年减少数</w:t>
            </w:r>
          </w:p>
        </w:tc>
        <w:tc>
          <w:tcPr>
            <w:tcW w:w="1724" w:type="dxa"/>
            <w:tcBorders>
              <w:top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30"/>
                <w:szCs w:val="30"/>
                <w:highlight w:val="none"/>
              </w:rPr>
            </w:pPr>
            <w:r>
              <w:rPr>
                <w:rFonts w:hint="default" w:ascii="仿宋_GB2312" w:hAnsi="仿宋_GB2312" w:eastAsia="仿宋_GB2312" w:cs="仿宋_GB2312"/>
                <w:b/>
                <w:bCs/>
                <w:color w:val="auto"/>
                <w:sz w:val="30"/>
                <w:szCs w:val="30"/>
                <w:highlight w:val="none"/>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54" w:type="dxa"/>
            <w:tcBorders>
              <w:lef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一般风险准备</w:t>
            </w:r>
          </w:p>
        </w:tc>
        <w:tc>
          <w:tcPr>
            <w:tcW w:w="16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21326</w:t>
            </w:r>
            <w:r>
              <w:rPr>
                <w:rFonts w:hint="eastAsia" w:ascii="仿宋_GB2312" w:hAnsi="仿宋_GB2312" w:eastAsia="仿宋_GB2312" w:cs="仿宋_GB2312"/>
                <w:color w:val="auto"/>
                <w:sz w:val="30"/>
                <w:szCs w:val="30"/>
                <w:highlight w:val="none"/>
                <w:lang w:val="en-US" w:eastAsia="zh-CN"/>
              </w:rPr>
              <w:t>.</w:t>
            </w:r>
            <w:r>
              <w:rPr>
                <w:rFonts w:hint="default"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lang w:val="en-US" w:eastAsia="zh-CN"/>
              </w:rPr>
              <w:t>1</w:t>
            </w:r>
          </w:p>
        </w:tc>
        <w:tc>
          <w:tcPr>
            <w:tcW w:w="1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0</w:t>
            </w:r>
          </w:p>
        </w:tc>
        <w:tc>
          <w:tcPr>
            <w:tcW w:w="20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0</w:t>
            </w:r>
          </w:p>
        </w:tc>
        <w:tc>
          <w:tcPr>
            <w:tcW w:w="1724" w:type="dxa"/>
            <w:tcBorders>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21326</w:t>
            </w:r>
            <w:r>
              <w:rPr>
                <w:rFonts w:hint="eastAsia" w:ascii="仿宋_GB2312" w:hAnsi="仿宋_GB2312" w:eastAsia="仿宋_GB2312" w:cs="仿宋_GB2312"/>
                <w:color w:val="auto"/>
                <w:sz w:val="30"/>
                <w:szCs w:val="30"/>
                <w:highlight w:val="none"/>
                <w:lang w:val="en-US" w:eastAsia="zh-CN"/>
              </w:rPr>
              <w:t>.</w:t>
            </w:r>
            <w:r>
              <w:rPr>
                <w:rFonts w:hint="default"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54" w:type="dxa"/>
            <w:tcBorders>
              <w:lef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特种专项准备</w:t>
            </w:r>
          </w:p>
        </w:tc>
        <w:tc>
          <w:tcPr>
            <w:tcW w:w="16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6048</w:t>
            </w:r>
            <w:r>
              <w:rPr>
                <w:rFonts w:hint="eastAsia" w:ascii="仿宋_GB2312" w:hAnsi="仿宋_GB2312" w:eastAsia="仿宋_GB2312" w:cs="仿宋_GB2312"/>
                <w:color w:val="auto"/>
                <w:sz w:val="30"/>
                <w:szCs w:val="30"/>
                <w:highlight w:val="none"/>
                <w:lang w:val="en-US" w:eastAsia="zh-CN"/>
              </w:rPr>
              <w:t>.</w:t>
            </w:r>
            <w:r>
              <w:rPr>
                <w:rFonts w:hint="default" w:ascii="仿宋_GB2312" w:hAnsi="仿宋_GB2312" w:eastAsia="仿宋_GB2312" w:cs="仿宋_GB2312"/>
                <w:color w:val="auto"/>
                <w:sz w:val="30"/>
                <w:szCs w:val="30"/>
                <w:highlight w:val="none"/>
                <w:lang w:val="en-US" w:eastAsia="zh-CN"/>
              </w:rPr>
              <w:t>17</w:t>
            </w:r>
          </w:p>
        </w:tc>
        <w:tc>
          <w:tcPr>
            <w:tcW w:w="1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0</w:t>
            </w:r>
          </w:p>
        </w:tc>
        <w:tc>
          <w:tcPr>
            <w:tcW w:w="20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0</w:t>
            </w:r>
          </w:p>
        </w:tc>
        <w:tc>
          <w:tcPr>
            <w:tcW w:w="1724" w:type="dxa"/>
            <w:tcBorders>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6,048.17</w:t>
            </w:r>
          </w:p>
        </w:tc>
      </w:tr>
    </w:tbl>
    <w:p>
      <w:pPr>
        <w:rPr>
          <w:rFonts w:hint="eastAsia" w:ascii="仿宋_GB2312" w:hAnsi="仿宋_GB2312" w:eastAsia="仿宋_GB2312" w:cs="仿宋_GB2312"/>
          <w:color w:val="auto"/>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（6）应收利息余额及变动情况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right"/>
        <w:textAlignment w:val="auto"/>
        <w:outlineLvl w:val="9"/>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eastAsia="zh-CN"/>
        </w:rPr>
        <w:t>金额单位：</w:t>
      </w:r>
      <w:r>
        <w:rPr>
          <w:rFonts w:hint="eastAsia" w:ascii="仿宋_GB2312" w:hAnsi="仿宋_GB2312" w:eastAsia="仿宋_GB2312" w:cs="仿宋_GB2312"/>
          <w:color w:val="auto"/>
          <w:sz w:val="30"/>
          <w:szCs w:val="30"/>
          <w:highlight w:val="none"/>
          <w:lang w:val="en-US" w:eastAsia="zh-CN"/>
        </w:rPr>
        <w:t>人民币/万元</w:t>
      </w:r>
    </w:p>
    <w:tbl>
      <w:tblPr>
        <w:tblStyle w:val="14"/>
        <w:tblW w:w="9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1608"/>
        <w:gridCol w:w="1836"/>
        <w:gridCol w:w="2074"/>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54" w:type="dxa"/>
            <w:tcBorders>
              <w:top w:val="single" w:color="auto" w:sz="4" w:space="0"/>
              <w:lef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rPr>
            </w:pPr>
            <w:r>
              <w:rPr>
                <w:rFonts w:hint="default" w:ascii="仿宋_GB2312" w:hAnsi="仿宋_GB2312" w:eastAsia="仿宋_GB2312" w:cs="仿宋_GB2312"/>
                <w:color w:val="auto"/>
                <w:sz w:val="30"/>
                <w:szCs w:val="30"/>
                <w:highlight w:val="none"/>
              </w:rPr>
              <w:t>项  目</w:t>
            </w:r>
          </w:p>
        </w:tc>
        <w:tc>
          <w:tcPr>
            <w:tcW w:w="1608"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rPr>
            </w:pPr>
            <w:r>
              <w:rPr>
                <w:rFonts w:hint="default" w:ascii="仿宋_GB2312" w:hAnsi="仿宋_GB2312" w:eastAsia="仿宋_GB2312" w:cs="仿宋_GB2312"/>
                <w:color w:val="auto"/>
                <w:sz w:val="30"/>
                <w:szCs w:val="30"/>
                <w:highlight w:val="none"/>
              </w:rPr>
              <w:t>期初余额</w:t>
            </w:r>
          </w:p>
        </w:tc>
        <w:tc>
          <w:tcPr>
            <w:tcW w:w="1836"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本年增加数</w:t>
            </w:r>
          </w:p>
        </w:tc>
        <w:tc>
          <w:tcPr>
            <w:tcW w:w="2074"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　本年减少数</w:t>
            </w:r>
          </w:p>
        </w:tc>
        <w:tc>
          <w:tcPr>
            <w:tcW w:w="1724" w:type="dxa"/>
            <w:tcBorders>
              <w:top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rPr>
            </w:pPr>
            <w:r>
              <w:rPr>
                <w:rFonts w:hint="default" w:ascii="仿宋_GB2312" w:hAnsi="仿宋_GB2312" w:eastAsia="仿宋_GB2312" w:cs="仿宋_GB2312"/>
                <w:color w:val="auto"/>
                <w:sz w:val="30"/>
                <w:szCs w:val="30"/>
                <w:highlight w:val="none"/>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54" w:type="dxa"/>
            <w:tcBorders>
              <w:lef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应收利息</w:t>
            </w:r>
          </w:p>
        </w:tc>
        <w:tc>
          <w:tcPr>
            <w:tcW w:w="16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204.46</w:t>
            </w:r>
          </w:p>
        </w:tc>
        <w:tc>
          <w:tcPr>
            <w:tcW w:w="1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41650.7</w:t>
            </w:r>
            <w:r>
              <w:rPr>
                <w:rFonts w:hint="eastAsia" w:ascii="仿宋_GB2312" w:hAnsi="仿宋_GB2312" w:eastAsia="仿宋_GB2312" w:cs="仿宋_GB2312"/>
                <w:color w:val="auto"/>
                <w:sz w:val="30"/>
                <w:szCs w:val="30"/>
                <w:highlight w:val="none"/>
                <w:lang w:val="en-US" w:eastAsia="zh-CN"/>
              </w:rPr>
              <w:t>8</w:t>
            </w:r>
          </w:p>
        </w:tc>
        <w:tc>
          <w:tcPr>
            <w:tcW w:w="20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41652.3</w:t>
            </w:r>
            <w:r>
              <w:rPr>
                <w:rFonts w:hint="eastAsia" w:ascii="仿宋_GB2312" w:hAnsi="仿宋_GB2312" w:eastAsia="仿宋_GB2312" w:cs="仿宋_GB2312"/>
                <w:color w:val="auto"/>
                <w:sz w:val="30"/>
                <w:szCs w:val="30"/>
                <w:highlight w:val="none"/>
                <w:lang w:val="en-US" w:eastAsia="zh-CN"/>
              </w:rPr>
              <w:t>2</w:t>
            </w:r>
          </w:p>
        </w:tc>
        <w:tc>
          <w:tcPr>
            <w:tcW w:w="1724" w:type="dxa"/>
            <w:tcBorders>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202.92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（7）应付利息计提方法、余额及变动情况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right"/>
        <w:textAlignment w:val="auto"/>
        <w:outlineLvl w:val="9"/>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eastAsia="zh-CN"/>
        </w:rPr>
        <w:t>金额单位：</w:t>
      </w:r>
      <w:r>
        <w:rPr>
          <w:rFonts w:hint="eastAsia" w:ascii="仿宋_GB2312" w:hAnsi="仿宋_GB2312" w:eastAsia="仿宋_GB2312" w:cs="仿宋_GB2312"/>
          <w:color w:val="auto"/>
          <w:sz w:val="30"/>
          <w:szCs w:val="30"/>
          <w:highlight w:val="none"/>
          <w:lang w:val="en-US" w:eastAsia="zh-CN"/>
        </w:rPr>
        <w:t>人民币/万元</w:t>
      </w:r>
    </w:p>
    <w:tbl>
      <w:tblPr>
        <w:tblStyle w:val="14"/>
        <w:tblW w:w="9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1608"/>
        <w:gridCol w:w="1836"/>
        <w:gridCol w:w="2074"/>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54" w:type="dxa"/>
            <w:tcBorders>
              <w:top w:val="single" w:color="auto" w:sz="4" w:space="0"/>
              <w:lef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rPr>
            </w:pPr>
            <w:r>
              <w:rPr>
                <w:rFonts w:hint="default" w:ascii="仿宋_GB2312" w:hAnsi="仿宋_GB2312" w:eastAsia="仿宋_GB2312" w:cs="仿宋_GB2312"/>
                <w:color w:val="auto"/>
                <w:sz w:val="30"/>
                <w:szCs w:val="30"/>
                <w:highlight w:val="none"/>
              </w:rPr>
              <w:t>项  目</w:t>
            </w:r>
          </w:p>
        </w:tc>
        <w:tc>
          <w:tcPr>
            <w:tcW w:w="1608"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rPr>
            </w:pPr>
            <w:r>
              <w:rPr>
                <w:rFonts w:hint="default" w:ascii="仿宋_GB2312" w:hAnsi="仿宋_GB2312" w:eastAsia="仿宋_GB2312" w:cs="仿宋_GB2312"/>
                <w:color w:val="auto"/>
                <w:sz w:val="30"/>
                <w:szCs w:val="30"/>
                <w:highlight w:val="none"/>
              </w:rPr>
              <w:t>期初余额</w:t>
            </w:r>
          </w:p>
        </w:tc>
        <w:tc>
          <w:tcPr>
            <w:tcW w:w="1836"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本年增加数</w:t>
            </w:r>
          </w:p>
        </w:tc>
        <w:tc>
          <w:tcPr>
            <w:tcW w:w="2074"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　本年减少数</w:t>
            </w:r>
          </w:p>
        </w:tc>
        <w:tc>
          <w:tcPr>
            <w:tcW w:w="1724" w:type="dxa"/>
            <w:tcBorders>
              <w:top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rPr>
            </w:pPr>
            <w:r>
              <w:rPr>
                <w:rFonts w:hint="default" w:ascii="仿宋_GB2312" w:hAnsi="仿宋_GB2312" w:eastAsia="仿宋_GB2312" w:cs="仿宋_GB2312"/>
                <w:color w:val="auto"/>
                <w:sz w:val="30"/>
                <w:szCs w:val="30"/>
                <w:highlight w:val="none"/>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54" w:type="dxa"/>
            <w:tcBorders>
              <w:lef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应付利息</w:t>
            </w:r>
          </w:p>
        </w:tc>
        <w:tc>
          <w:tcPr>
            <w:tcW w:w="16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13009.05</w:t>
            </w:r>
          </w:p>
        </w:tc>
        <w:tc>
          <w:tcPr>
            <w:tcW w:w="1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12150.16</w:t>
            </w:r>
          </w:p>
        </w:tc>
        <w:tc>
          <w:tcPr>
            <w:tcW w:w="20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11071.1</w:t>
            </w:r>
            <w:r>
              <w:rPr>
                <w:rFonts w:hint="eastAsia" w:ascii="仿宋_GB2312" w:hAnsi="仿宋_GB2312" w:eastAsia="仿宋_GB2312" w:cs="仿宋_GB2312"/>
                <w:color w:val="auto"/>
                <w:sz w:val="30"/>
                <w:szCs w:val="30"/>
                <w:highlight w:val="none"/>
                <w:lang w:val="en-US" w:eastAsia="zh-CN"/>
              </w:rPr>
              <w:t>6</w:t>
            </w:r>
          </w:p>
        </w:tc>
        <w:tc>
          <w:tcPr>
            <w:tcW w:w="1724" w:type="dxa"/>
            <w:tcBorders>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仿宋_GB2312" w:hAnsi="仿宋_GB2312" w:eastAsia="仿宋_GB2312" w:cs="仿宋_GB2312"/>
                <w:color w:val="auto"/>
                <w:sz w:val="30"/>
                <w:szCs w:val="30"/>
                <w:highlight w:val="none"/>
                <w:lang w:val="en-US" w:eastAsia="zh-CN"/>
              </w:rPr>
            </w:pPr>
            <w:r>
              <w:rPr>
                <w:rFonts w:hint="default" w:ascii="仿宋_GB2312" w:hAnsi="仿宋_GB2312" w:eastAsia="仿宋_GB2312" w:cs="仿宋_GB2312"/>
                <w:color w:val="auto"/>
                <w:sz w:val="30"/>
                <w:szCs w:val="30"/>
                <w:highlight w:val="none"/>
                <w:lang w:val="en-US" w:eastAsia="zh-CN"/>
              </w:rPr>
              <w:t>14088.0</w:t>
            </w:r>
            <w:r>
              <w:rPr>
                <w:rFonts w:hint="eastAsia" w:ascii="仿宋_GB2312" w:hAnsi="仿宋_GB2312" w:eastAsia="仿宋_GB2312" w:cs="仿宋_GB2312"/>
                <w:color w:val="auto"/>
                <w:sz w:val="30"/>
                <w:szCs w:val="30"/>
                <w:highlight w:val="none"/>
                <w:lang w:val="en-US" w:eastAsia="zh-CN"/>
              </w:rPr>
              <w:t>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（8）对外投资情况</w:t>
      </w:r>
    </w:p>
    <w:p>
      <w:pPr>
        <w:pStyle w:val="2"/>
        <w:jc w:val="right"/>
        <w:rPr>
          <w:rFonts w:hint="eastAsia"/>
          <w:highlight w:val="none"/>
          <w:lang w:val="en-US" w:eastAsia="zh-CN"/>
        </w:rPr>
      </w:pPr>
      <w:r>
        <w:rPr>
          <w:rFonts w:hint="eastAsia" w:ascii="仿宋_GB2312" w:hAnsi="仿宋_GB2312" w:eastAsia="仿宋_GB2312" w:cs="仿宋_GB2312"/>
          <w:color w:val="auto"/>
          <w:sz w:val="32"/>
          <w:szCs w:val="32"/>
          <w:highlight w:val="none"/>
          <w:lang w:eastAsia="zh-CN"/>
        </w:rPr>
        <w:t>金额单位：</w:t>
      </w:r>
      <w:r>
        <w:rPr>
          <w:rFonts w:hint="eastAsia" w:ascii="仿宋_GB2312" w:hAnsi="仿宋_GB2312" w:eastAsia="仿宋_GB2312" w:cs="仿宋_GB2312"/>
          <w:color w:val="auto"/>
          <w:sz w:val="32"/>
          <w:szCs w:val="32"/>
          <w:highlight w:val="none"/>
          <w:lang w:val="en-US" w:eastAsia="zh-CN"/>
        </w:rPr>
        <w:t>人民币/万元</w:t>
      </w:r>
    </w:p>
    <w:tbl>
      <w:tblPr>
        <w:tblStyle w:val="14"/>
        <w:tblW w:w="9042" w:type="dxa"/>
        <w:jc w:val="center"/>
        <w:tblInd w:w="0" w:type="dxa"/>
        <w:tblLayout w:type="fixed"/>
        <w:tblCellMar>
          <w:top w:w="0" w:type="dxa"/>
          <w:left w:w="108" w:type="dxa"/>
          <w:bottom w:w="0" w:type="dxa"/>
          <w:right w:w="108" w:type="dxa"/>
        </w:tblCellMar>
      </w:tblPr>
      <w:tblGrid>
        <w:gridCol w:w="3144"/>
        <w:gridCol w:w="2949"/>
        <w:gridCol w:w="2949"/>
      </w:tblGrid>
      <w:tr>
        <w:tblPrEx>
          <w:tblLayout w:type="fixed"/>
          <w:tblCellMar>
            <w:top w:w="0" w:type="dxa"/>
            <w:left w:w="108" w:type="dxa"/>
            <w:bottom w:w="0" w:type="dxa"/>
            <w:right w:w="108" w:type="dxa"/>
          </w:tblCellMar>
        </w:tblPrEx>
        <w:trPr>
          <w:trHeight w:val="285" w:hRule="atLeast"/>
          <w:jc w:val="center"/>
        </w:trPr>
        <w:tc>
          <w:tcPr>
            <w:tcW w:w="31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b/>
                <w:bCs/>
                <w:color w:val="auto"/>
                <w:kern w:val="0"/>
                <w:sz w:val="30"/>
                <w:szCs w:val="30"/>
                <w:highlight w:val="none"/>
              </w:rPr>
            </w:pPr>
            <w:r>
              <w:rPr>
                <w:rFonts w:hint="eastAsia" w:ascii="仿宋_GB2312" w:hAnsi="仿宋_GB2312" w:eastAsia="仿宋_GB2312" w:cs="仿宋_GB2312"/>
                <w:b/>
                <w:bCs/>
                <w:color w:val="auto"/>
                <w:kern w:val="0"/>
                <w:sz w:val="30"/>
                <w:szCs w:val="30"/>
                <w:highlight w:val="none"/>
              </w:rPr>
              <w:t>项目</w:t>
            </w:r>
          </w:p>
        </w:tc>
        <w:tc>
          <w:tcPr>
            <w:tcW w:w="29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b/>
                <w:bCs/>
                <w:color w:val="auto"/>
                <w:kern w:val="0"/>
                <w:sz w:val="30"/>
                <w:szCs w:val="30"/>
                <w:highlight w:val="none"/>
              </w:rPr>
            </w:pPr>
            <w:r>
              <w:rPr>
                <w:rFonts w:hint="eastAsia" w:ascii="仿宋_GB2312" w:hAnsi="仿宋_GB2312" w:eastAsia="仿宋_GB2312" w:cs="仿宋_GB2312"/>
                <w:b/>
                <w:bCs/>
                <w:color w:val="auto"/>
                <w:kern w:val="0"/>
                <w:sz w:val="30"/>
                <w:szCs w:val="30"/>
                <w:highlight w:val="none"/>
              </w:rPr>
              <w:t>期</w:t>
            </w:r>
            <w:r>
              <w:rPr>
                <w:rFonts w:hint="eastAsia" w:ascii="仿宋_GB2312" w:hAnsi="仿宋_GB2312" w:eastAsia="仿宋_GB2312" w:cs="仿宋_GB2312"/>
                <w:b/>
                <w:bCs/>
                <w:color w:val="auto"/>
                <w:kern w:val="0"/>
                <w:sz w:val="30"/>
                <w:szCs w:val="30"/>
                <w:highlight w:val="none"/>
                <w:lang w:eastAsia="zh-CN"/>
              </w:rPr>
              <w:t>初</w:t>
            </w:r>
            <w:r>
              <w:rPr>
                <w:rFonts w:hint="eastAsia" w:ascii="仿宋_GB2312" w:hAnsi="仿宋_GB2312" w:eastAsia="仿宋_GB2312" w:cs="仿宋_GB2312"/>
                <w:b/>
                <w:bCs/>
                <w:color w:val="auto"/>
                <w:kern w:val="0"/>
                <w:sz w:val="30"/>
                <w:szCs w:val="30"/>
                <w:highlight w:val="none"/>
              </w:rPr>
              <w:t>余额</w:t>
            </w:r>
          </w:p>
        </w:tc>
        <w:tc>
          <w:tcPr>
            <w:tcW w:w="29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color w:val="auto"/>
                <w:sz w:val="30"/>
                <w:szCs w:val="30"/>
                <w:highlight w:val="none"/>
              </w:rPr>
            </w:pPr>
            <w:r>
              <w:rPr>
                <w:rFonts w:hint="eastAsia" w:ascii="仿宋_GB2312" w:hAnsi="仿宋_GB2312" w:eastAsia="仿宋_GB2312" w:cs="仿宋_GB2312"/>
                <w:b/>
                <w:bCs/>
                <w:color w:val="auto"/>
                <w:kern w:val="0"/>
                <w:sz w:val="30"/>
                <w:szCs w:val="30"/>
                <w:highlight w:val="none"/>
              </w:rPr>
              <w:t>期末余额</w:t>
            </w:r>
          </w:p>
        </w:tc>
      </w:tr>
      <w:tr>
        <w:tblPrEx>
          <w:tblLayout w:type="fixed"/>
          <w:tblCellMar>
            <w:top w:w="0" w:type="dxa"/>
            <w:left w:w="108" w:type="dxa"/>
            <w:bottom w:w="0" w:type="dxa"/>
            <w:right w:w="108" w:type="dxa"/>
          </w:tblCellMar>
        </w:tblPrEx>
        <w:trPr>
          <w:trHeight w:val="285" w:hRule="atLeast"/>
          <w:jc w:val="center"/>
        </w:trPr>
        <w:tc>
          <w:tcPr>
            <w:tcW w:w="31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债权投资</w:t>
            </w:r>
          </w:p>
        </w:tc>
        <w:tc>
          <w:tcPr>
            <w:tcW w:w="2949" w:type="dxa"/>
            <w:tcBorders>
              <w:top w:val="single" w:color="auto" w:sz="4" w:space="0"/>
              <w:left w:val="nil"/>
              <w:bottom w:val="single" w:color="auto" w:sz="4" w:space="0"/>
              <w:right w:val="single" w:color="auto" w:sz="4" w:space="0"/>
            </w:tcBorders>
            <w:vAlign w:val="bottom"/>
          </w:tcPr>
          <w:p>
            <w:pPr>
              <w:widowControl/>
              <w:spacing w:line="560" w:lineRule="exact"/>
              <w:jc w:val="center"/>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lang w:val="en-US" w:eastAsia="zh-CN"/>
              </w:rPr>
              <w:t>198060.43</w:t>
            </w:r>
          </w:p>
        </w:tc>
        <w:tc>
          <w:tcPr>
            <w:tcW w:w="2949" w:type="dxa"/>
            <w:tcBorders>
              <w:top w:val="single" w:color="auto" w:sz="4" w:space="0"/>
              <w:left w:val="nil"/>
              <w:bottom w:val="single" w:color="auto" w:sz="4" w:space="0"/>
              <w:right w:val="single" w:color="auto" w:sz="4" w:space="0"/>
            </w:tcBorders>
            <w:vAlign w:val="bottom"/>
          </w:tcPr>
          <w:p>
            <w:pPr>
              <w:widowControl/>
              <w:spacing w:line="560" w:lineRule="exact"/>
              <w:jc w:val="center"/>
              <w:rPr>
                <w:color w:val="auto"/>
                <w:sz w:val="30"/>
                <w:szCs w:val="30"/>
                <w:highlight w:val="none"/>
              </w:rPr>
            </w:pPr>
            <w:r>
              <w:rPr>
                <w:rFonts w:hint="eastAsia" w:ascii="仿宋_GB2312" w:hAnsi="仿宋_GB2312" w:eastAsia="仿宋_GB2312" w:cs="仿宋_GB2312"/>
                <w:color w:val="auto"/>
                <w:kern w:val="0"/>
                <w:sz w:val="30"/>
                <w:szCs w:val="30"/>
                <w:highlight w:val="none"/>
                <w:lang w:val="en-US" w:eastAsia="zh-CN"/>
              </w:rPr>
              <w:t>176835.98</w:t>
            </w:r>
          </w:p>
        </w:tc>
      </w:tr>
      <w:tr>
        <w:tblPrEx>
          <w:tblLayout w:type="fixed"/>
          <w:tblCellMar>
            <w:top w:w="0" w:type="dxa"/>
            <w:left w:w="108" w:type="dxa"/>
            <w:bottom w:w="0" w:type="dxa"/>
            <w:right w:w="108" w:type="dxa"/>
          </w:tblCellMar>
        </w:tblPrEx>
        <w:trPr>
          <w:trHeight w:val="285" w:hRule="atLeast"/>
          <w:jc w:val="center"/>
        </w:trPr>
        <w:tc>
          <w:tcPr>
            <w:tcW w:w="31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其他债权投资</w:t>
            </w:r>
          </w:p>
        </w:tc>
        <w:tc>
          <w:tcPr>
            <w:tcW w:w="2949" w:type="dxa"/>
            <w:tcBorders>
              <w:top w:val="single" w:color="auto" w:sz="4" w:space="0"/>
              <w:left w:val="nil"/>
              <w:bottom w:val="single" w:color="auto" w:sz="4" w:space="0"/>
              <w:right w:val="single" w:color="auto" w:sz="4" w:space="0"/>
            </w:tcBorders>
            <w:vAlign w:val="bottom"/>
          </w:tcPr>
          <w:p>
            <w:pPr>
              <w:widowControl/>
              <w:spacing w:line="560" w:lineRule="exact"/>
              <w:jc w:val="center"/>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lang w:val="en-US" w:eastAsia="zh-CN"/>
              </w:rPr>
              <w:t>0</w:t>
            </w:r>
          </w:p>
        </w:tc>
        <w:tc>
          <w:tcPr>
            <w:tcW w:w="2949" w:type="dxa"/>
            <w:tcBorders>
              <w:top w:val="single" w:color="auto" w:sz="4" w:space="0"/>
              <w:left w:val="nil"/>
              <w:bottom w:val="single" w:color="auto" w:sz="4" w:space="0"/>
              <w:right w:val="single" w:color="auto" w:sz="4" w:space="0"/>
            </w:tcBorders>
            <w:vAlign w:val="bottom"/>
          </w:tcPr>
          <w:p>
            <w:pPr>
              <w:widowControl/>
              <w:spacing w:line="560" w:lineRule="exact"/>
              <w:jc w:val="center"/>
              <w:rPr>
                <w:color w:val="auto"/>
                <w:sz w:val="30"/>
                <w:szCs w:val="30"/>
                <w:highlight w:val="none"/>
              </w:rPr>
            </w:pPr>
            <w:r>
              <w:rPr>
                <w:rFonts w:hint="eastAsia" w:ascii="仿宋_GB2312" w:hAnsi="仿宋_GB2312" w:eastAsia="仿宋_GB2312" w:cs="仿宋_GB2312"/>
                <w:color w:val="auto"/>
                <w:kern w:val="0"/>
                <w:sz w:val="30"/>
                <w:szCs w:val="30"/>
                <w:highlight w:val="none"/>
                <w:lang w:val="en-US" w:eastAsia="zh-CN"/>
              </w:rPr>
              <w:t>29687.18</w:t>
            </w:r>
          </w:p>
        </w:tc>
      </w:tr>
      <w:tr>
        <w:tblPrEx>
          <w:tblLayout w:type="fixed"/>
          <w:tblCellMar>
            <w:top w:w="0" w:type="dxa"/>
            <w:left w:w="108" w:type="dxa"/>
            <w:bottom w:w="0" w:type="dxa"/>
            <w:right w:w="108" w:type="dxa"/>
          </w:tblCellMar>
        </w:tblPrEx>
        <w:trPr>
          <w:trHeight w:val="285" w:hRule="atLeast"/>
          <w:jc w:val="center"/>
        </w:trPr>
        <w:tc>
          <w:tcPr>
            <w:tcW w:w="31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长期股权投资</w:t>
            </w:r>
          </w:p>
        </w:tc>
        <w:tc>
          <w:tcPr>
            <w:tcW w:w="294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lang w:val="en-US" w:eastAsia="zh-CN"/>
              </w:rPr>
              <w:t>15062.61</w:t>
            </w:r>
          </w:p>
        </w:tc>
        <w:tc>
          <w:tcPr>
            <w:tcW w:w="2949" w:type="dxa"/>
            <w:tcBorders>
              <w:top w:val="single" w:color="auto" w:sz="4" w:space="0"/>
              <w:left w:val="nil"/>
              <w:bottom w:val="single" w:color="auto" w:sz="4" w:space="0"/>
              <w:right w:val="single" w:color="auto" w:sz="4" w:space="0"/>
            </w:tcBorders>
            <w:vAlign w:val="center"/>
          </w:tcPr>
          <w:p>
            <w:pPr>
              <w:widowControl/>
              <w:spacing w:line="560" w:lineRule="exact"/>
              <w:jc w:val="center"/>
              <w:rPr>
                <w:color w:val="auto"/>
                <w:sz w:val="30"/>
                <w:szCs w:val="30"/>
                <w:highlight w:val="none"/>
              </w:rPr>
            </w:pPr>
            <w:r>
              <w:rPr>
                <w:rFonts w:hint="eastAsia" w:ascii="仿宋_GB2312" w:hAnsi="仿宋_GB2312" w:eastAsia="仿宋_GB2312" w:cs="仿宋_GB2312"/>
                <w:color w:val="auto"/>
                <w:kern w:val="0"/>
                <w:sz w:val="30"/>
                <w:szCs w:val="30"/>
                <w:highlight w:val="none"/>
                <w:lang w:val="en-US" w:eastAsia="zh-CN"/>
              </w:rPr>
              <w:t>15032.61</w:t>
            </w:r>
          </w:p>
        </w:tc>
      </w:tr>
      <w:tr>
        <w:tblPrEx>
          <w:tblLayout w:type="fixed"/>
          <w:tblCellMar>
            <w:top w:w="0" w:type="dxa"/>
            <w:left w:w="108" w:type="dxa"/>
            <w:bottom w:w="0" w:type="dxa"/>
            <w:right w:w="108" w:type="dxa"/>
          </w:tblCellMar>
        </w:tblPrEx>
        <w:trPr>
          <w:trHeight w:val="285" w:hRule="atLeast"/>
          <w:jc w:val="center"/>
        </w:trPr>
        <w:tc>
          <w:tcPr>
            <w:tcW w:w="31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合计</w:t>
            </w:r>
          </w:p>
        </w:tc>
        <w:tc>
          <w:tcPr>
            <w:tcW w:w="294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213123.04</w:t>
            </w:r>
          </w:p>
        </w:tc>
        <w:tc>
          <w:tcPr>
            <w:tcW w:w="294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color w:val="auto"/>
                <w:sz w:val="30"/>
                <w:szCs w:val="30"/>
                <w:highlight w:val="none"/>
              </w:rPr>
            </w:pPr>
            <w:r>
              <w:rPr>
                <w:rFonts w:hint="eastAsia" w:ascii="仿宋_GB2312" w:hAnsi="仿宋_GB2312" w:eastAsia="仿宋_GB2312" w:cs="仿宋_GB2312"/>
                <w:color w:val="auto"/>
                <w:kern w:val="0"/>
                <w:sz w:val="30"/>
                <w:szCs w:val="30"/>
                <w:highlight w:val="none"/>
                <w:lang w:val="en-US" w:eastAsia="zh-CN"/>
              </w:rPr>
              <w:t>221555.77</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（9）同业拆入款项</w:t>
      </w:r>
      <w:r>
        <w:rPr>
          <w:rFonts w:hint="eastAsia" w:ascii="仿宋_GB2312" w:hAnsi="仿宋_GB2312" w:eastAsia="仿宋_GB2312" w:cs="仿宋_GB2312"/>
          <w:color w:val="auto"/>
          <w:sz w:val="32"/>
          <w:szCs w:val="32"/>
          <w:highlight w:val="none"/>
          <w:lang w:val="en-US" w:eastAsia="zh-CN"/>
        </w:rPr>
        <w:t>（按境内、境外同业披露年初数和期末数，金额单位：人民币/万元）</w:t>
      </w:r>
    </w:p>
    <w:p>
      <w:pPr>
        <w:pStyle w:val="2"/>
        <w:jc w:val="righ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金额单位：</w:t>
      </w:r>
      <w:r>
        <w:rPr>
          <w:rFonts w:hint="eastAsia" w:ascii="仿宋_GB2312" w:hAnsi="仿宋_GB2312" w:eastAsia="仿宋_GB2312" w:cs="仿宋_GB2312"/>
          <w:color w:val="auto"/>
          <w:sz w:val="32"/>
          <w:szCs w:val="32"/>
          <w:highlight w:val="none"/>
          <w:lang w:val="en-US" w:eastAsia="zh-CN"/>
        </w:rPr>
        <w:t>人民币/万元</w:t>
      </w:r>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项目</w:t>
            </w:r>
          </w:p>
        </w:tc>
        <w:tc>
          <w:tcPr>
            <w:tcW w:w="3020"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期初余额</w:t>
            </w:r>
          </w:p>
        </w:tc>
        <w:tc>
          <w:tcPr>
            <w:tcW w:w="3021" w:type="dxa"/>
            <w:vAlign w:val="center"/>
          </w:tcPr>
          <w:p>
            <w:pPr>
              <w:jc w:val="center"/>
              <w:rPr>
                <w:rFonts w:hint="eastAsia"/>
                <w:b/>
                <w:bCs/>
                <w:sz w:val="30"/>
                <w:szCs w:val="30"/>
                <w:highlight w:val="none"/>
                <w:vertAlign w:val="baseline"/>
                <w:lang w:eastAsia="zh-CN"/>
              </w:rPr>
            </w:pPr>
            <w:r>
              <w:rPr>
                <w:rFonts w:hint="eastAsia"/>
                <w:b/>
                <w:bCs/>
                <w:sz w:val="30"/>
                <w:szCs w:val="30"/>
                <w:highlight w:val="none"/>
                <w:vertAlign w:val="baseline"/>
                <w:lang w:eastAsia="zh-CN"/>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sz w:val="32"/>
                <w:szCs w:val="32"/>
                <w:highlight w:val="none"/>
                <w:lang w:val="en-US" w:eastAsia="zh-CN"/>
              </w:rPr>
              <w:t>境内同业拆入款项</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0</w:t>
            </w:r>
          </w:p>
        </w:tc>
        <w:tc>
          <w:tcPr>
            <w:tcW w:w="302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sz w:val="32"/>
                <w:szCs w:val="32"/>
                <w:highlight w:val="none"/>
                <w:lang w:val="en-US" w:eastAsia="zh-CN"/>
              </w:rPr>
              <w:t>境外同业拆入款项</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0</w:t>
            </w:r>
          </w:p>
        </w:tc>
        <w:tc>
          <w:tcPr>
            <w:tcW w:w="302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eastAsia="zh-CN"/>
              </w:rPr>
              <w:t>合计</w:t>
            </w:r>
          </w:p>
        </w:tc>
        <w:tc>
          <w:tcPr>
            <w:tcW w:w="3020"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0</w:t>
            </w:r>
          </w:p>
        </w:tc>
        <w:tc>
          <w:tcPr>
            <w:tcW w:w="302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（10）表外业务</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1" w:firstLineChars="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暂未办理银行承兑汇票、对外担保等表外业务。</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1" w:firstLineChars="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7.资本充足状况</w:t>
      </w:r>
    </w:p>
    <w:p>
      <w:pPr>
        <w:pStyle w:val="2"/>
        <w:jc w:val="righ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单位：万元、%</w:t>
      </w:r>
    </w:p>
    <w:tbl>
      <w:tblPr>
        <w:tblStyle w:val="14"/>
        <w:tblW w:w="881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252"/>
        <w:gridCol w:w="4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jc w:val="center"/>
        </w:trPr>
        <w:tc>
          <w:tcPr>
            <w:tcW w:w="425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widowControl/>
              <w:suppressLineNumbers w:val="0"/>
              <w:jc w:val="center"/>
              <w:rPr>
                <w:rFonts w:hint="eastAsia" w:ascii="仿宋_GB2312" w:hAnsi="仿宋_GB2312" w:eastAsia="仿宋_GB2312" w:cs="仿宋_GB2312"/>
                <w:b/>
                <w:bCs/>
                <w:color w:val="auto"/>
                <w:kern w:val="0"/>
                <w:sz w:val="30"/>
                <w:szCs w:val="30"/>
                <w:highlight w:val="none"/>
                <w:lang w:val="en-US" w:eastAsia="zh-CN" w:bidi="ar-SA"/>
              </w:rPr>
            </w:pPr>
            <w:r>
              <w:rPr>
                <w:rFonts w:hint="default" w:ascii="仿宋_GB2312" w:hAnsi="仿宋_GB2312" w:eastAsia="仿宋_GB2312" w:cs="仿宋_GB2312"/>
                <w:b/>
                <w:bCs/>
                <w:color w:val="auto"/>
                <w:kern w:val="0"/>
                <w:sz w:val="30"/>
                <w:szCs w:val="30"/>
                <w:highlight w:val="none"/>
                <w:lang w:val="en-US" w:eastAsia="zh-CN" w:bidi="ar-SA"/>
              </w:rPr>
              <w:t>项目</w:t>
            </w:r>
          </w:p>
        </w:tc>
        <w:tc>
          <w:tcPr>
            <w:tcW w:w="4560" w:type="dxa"/>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jc w:val="center"/>
              <w:rPr>
                <w:rFonts w:hint="eastAsia" w:ascii="仿宋_GB2312" w:hAnsi="仿宋_GB2312" w:eastAsia="仿宋_GB2312" w:cs="仿宋_GB2312"/>
                <w:b/>
                <w:bCs/>
                <w:color w:val="auto"/>
                <w:kern w:val="0"/>
                <w:sz w:val="30"/>
                <w:szCs w:val="30"/>
                <w:highlight w:val="none"/>
                <w:lang w:val="en-US" w:eastAsia="zh-CN" w:bidi="ar-SA"/>
              </w:rPr>
            </w:pPr>
            <w:r>
              <w:rPr>
                <w:rFonts w:hint="eastAsia" w:ascii="仿宋_GB2312" w:hAnsi="仿宋_GB2312" w:eastAsia="仿宋_GB2312" w:cs="仿宋_GB2312"/>
                <w:b/>
                <w:bCs/>
                <w:color w:val="auto"/>
                <w:kern w:val="0"/>
                <w:sz w:val="30"/>
                <w:szCs w:val="30"/>
                <w:highlight w:val="none"/>
                <w:lang w:val="en-US" w:eastAsia="zh-CN" w:bidi="ar-SA"/>
              </w:rPr>
              <w:t>2025年末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jc w:val="center"/>
        </w:trPr>
        <w:tc>
          <w:tcPr>
            <w:tcW w:w="425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widowControl/>
              <w:suppressLineNumbers w:val="0"/>
              <w:jc w:val="center"/>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　　</w:t>
            </w:r>
            <w:r>
              <w:rPr>
                <w:rFonts w:hint="default" w:ascii="仿宋_GB2312" w:hAnsi="仿宋_GB2312" w:eastAsia="仿宋_GB2312" w:cs="仿宋_GB2312"/>
                <w:color w:val="auto"/>
                <w:kern w:val="0"/>
                <w:sz w:val="30"/>
                <w:szCs w:val="30"/>
                <w:highlight w:val="none"/>
                <w:lang w:val="en-US" w:eastAsia="zh-CN" w:bidi="ar-SA"/>
              </w:rPr>
              <w:t>风险加权资产总额</w:t>
            </w:r>
          </w:p>
        </w:tc>
        <w:tc>
          <w:tcPr>
            <w:tcW w:w="4560" w:type="dxa"/>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jc w:val="center"/>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625738.91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jc w:val="center"/>
        </w:trPr>
        <w:tc>
          <w:tcPr>
            <w:tcW w:w="425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widowControl/>
              <w:suppressLineNumbers w:val="0"/>
              <w:jc w:val="center"/>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　　</w:t>
            </w:r>
            <w:r>
              <w:rPr>
                <w:rFonts w:hint="default" w:ascii="仿宋_GB2312" w:hAnsi="仿宋_GB2312" w:eastAsia="仿宋_GB2312" w:cs="仿宋_GB2312"/>
                <w:color w:val="auto"/>
                <w:kern w:val="0"/>
                <w:sz w:val="30"/>
                <w:szCs w:val="30"/>
                <w:highlight w:val="none"/>
                <w:lang w:val="en-US" w:eastAsia="zh-CN" w:bidi="ar-SA"/>
              </w:rPr>
              <w:t>资本净额</w:t>
            </w:r>
          </w:p>
        </w:tc>
        <w:tc>
          <w:tcPr>
            <w:tcW w:w="456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widowControl/>
              <w:suppressLineNumbers w:val="0"/>
              <w:jc w:val="center"/>
              <w:rPr>
                <w:rFonts w:hint="default"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150038.34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jc w:val="center"/>
        </w:trPr>
        <w:tc>
          <w:tcPr>
            <w:tcW w:w="425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widowControl/>
              <w:suppressLineNumbers w:val="0"/>
              <w:jc w:val="center"/>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　　</w:t>
            </w:r>
            <w:r>
              <w:rPr>
                <w:rFonts w:hint="default" w:ascii="仿宋_GB2312" w:hAnsi="仿宋_GB2312" w:eastAsia="仿宋_GB2312" w:cs="仿宋_GB2312"/>
                <w:color w:val="auto"/>
                <w:kern w:val="0"/>
                <w:sz w:val="30"/>
                <w:szCs w:val="30"/>
                <w:highlight w:val="none"/>
                <w:lang w:val="en-US" w:eastAsia="zh-CN" w:bidi="ar-SA"/>
              </w:rPr>
              <w:t>其中：核心一级资本净额</w:t>
            </w:r>
          </w:p>
        </w:tc>
        <w:tc>
          <w:tcPr>
            <w:tcW w:w="4560" w:type="dxa"/>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jc w:val="center"/>
              <w:rPr>
                <w:rFonts w:hint="default"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92725.18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jc w:val="center"/>
        </w:trPr>
        <w:tc>
          <w:tcPr>
            <w:tcW w:w="4252" w:type="dxa"/>
            <w:tcBorders>
              <w:top w:val="nil"/>
              <w:left w:val="single" w:color="auto" w:sz="4" w:space="0"/>
              <w:bottom w:val="single" w:color="auto" w:sz="4" w:space="0"/>
              <w:right w:val="single" w:color="auto" w:sz="4" w:space="0"/>
            </w:tcBorders>
            <w:vAlign w:val="center"/>
          </w:tcPr>
          <w:p>
            <w:pPr>
              <w:pStyle w:val="11"/>
              <w:keepNext w:val="0"/>
              <w:keepLines w:val="0"/>
              <w:widowControl/>
              <w:suppressLineNumbers w:val="0"/>
              <w:jc w:val="center"/>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　　其它</w:t>
            </w:r>
            <w:r>
              <w:rPr>
                <w:rFonts w:hint="default" w:ascii="仿宋_GB2312" w:hAnsi="仿宋_GB2312" w:eastAsia="仿宋_GB2312" w:cs="仿宋_GB2312"/>
                <w:color w:val="auto"/>
                <w:kern w:val="0"/>
                <w:sz w:val="30"/>
                <w:szCs w:val="30"/>
                <w:highlight w:val="none"/>
                <w:lang w:val="en-US" w:eastAsia="zh-CN" w:bidi="ar-SA"/>
              </w:rPr>
              <w:t>资本</w:t>
            </w:r>
          </w:p>
        </w:tc>
        <w:tc>
          <w:tcPr>
            <w:tcW w:w="4560" w:type="dxa"/>
            <w:tcBorders>
              <w:top w:val="nil"/>
              <w:left w:val="nil"/>
              <w:bottom w:val="single" w:color="auto" w:sz="4" w:space="0"/>
              <w:right w:val="single" w:color="auto" w:sz="4" w:space="0"/>
            </w:tcBorders>
            <w:vAlign w:val="center"/>
          </w:tcPr>
          <w:p>
            <w:pPr>
              <w:pStyle w:val="11"/>
              <w:keepNext w:val="0"/>
              <w:keepLines w:val="0"/>
              <w:widowControl/>
              <w:suppressLineNumbers w:val="0"/>
              <w:jc w:val="center"/>
              <w:rPr>
                <w:rFonts w:hint="default"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57313.16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jc w:val="center"/>
        </w:trPr>
        <w:tc>
          <w:tcPr>
            <w:tcW w:w="425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widowControl/>
              <w:suppressLineNumbers w:val="0"/>
              <w:jc w:val="center"/>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　　</w:t>
            </w:r>
            <w:r>
              <w:rPr>
                <w:rFonts w:hint="default" w:ascii="仿宋_GB2312" w:hAnsi="仿宋_GB2312" w:eastAsia="仿宋_GB2312" w:cs="仿宋_GB2312"/>
                <w:color w:val="auto"/>
                <w:kern w:val="0"/>
                <w:sz w:val="30"/>
                <w:szCs w:val="30"/>
                <w:highlight w:val="none"/>
                <w:lang w:val="en-US" w:eastAsia="zh-CN" w:bidi="ar-SA"/>
              </w:rPr>
              <w:t>资本充足率</w:t>
            </w:r>
          </w:p>
        </w:tc>
        <w:tc>
          <w:tcPr>
            <w:tcW w:w="456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widowControl/>
              <w:suppressLineNumbers w:val="0"/>
              <w:jc w:val="center"/>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23.98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jc w:val="center"/>
        </w:trPr>
        <w:tc>
          <w:tcPr>
            <w:tcW w:w="425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widowControl/>
              <w:suppressLineNumbers w:val="0"/>
              <w:jc w:val="center"/>
              <w:rPr>
                <w:rFonts w:hint="eastAsia"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　　</w:t>
            </w:r>
            <w:r>
              <w:rPr>
                <w:rFonts w:hint="default" w:ascii="仿宋_GB2312" w:hAnsi="仿宋_GB2312" w:eastAsia="仿宋_GB2312" w:cs="仿宋_GB2312"/>
                <w:color w:val="auto"/>
                <w:kern w:val="0"/>
                <w:sz w:val="30"/>
                <w:szCs w:val="30"/>
                <w:highlight w:val="none"/>
                <w:lang w:val="en-US" w:eastAsia="zh-CN" w:bidi="ar-SA"/>
              </w:rPr>
              <w:t>核心资本充足率</w:t>
            </w:r>
          </w:p>
        </w:tc>
        <w:tc>
          <w:tcPr>
            <w:tcW w:w="4560" w:type="dxa"/>
            <w:tcBorders>
              <w:top w:val="single" w:color="auto" w:sz="4" w:space="0"/>
              <w:left w:val="nil"/>
              <w:bottom w:val="single" w:color="auto" w:sz="4" w:space="0"/>
              <w:right w:val="single" w:color="auto" w:sz="4" w:space="0"/>
            </w:tcBorders>
            <w:vAlign w:val="center"/>
          </w:tcPr>
          <w:p>
            <w:pPr>
              <w:pStyle w:val="11"/>
              <w:keepNext w:val="0"/>
              <w:keepLines w:val="0"/>
              <w:widowControl/>
              <w:suppressLineNumbers w:val="0"/>
              <w:jc w:val="center"/>
              <w:rPr>
                <w:rFonts w:hint="default" w:ascii="仿宋_GB2312" w:hAnsi="仿宋_GB2312" w:eastAsia="仿宋_GB2312" w:cs="仿宋_GB2312"/>
                <w:color w:val="auto"/>
                <w:kern w:val="0"/>
                <w:sz w:val="30"/>
                <w:szCs w:val="30"/>
                <w:highlight w:val="none"/>
                <w:lang w:val="en-US" w:eastAsia="zh-CN" w:bidi="ar-SA"/>
              </w:rPr>
            </w:pPr>
            <w:r>
              <w:rPr>
                <w:rFonts w:hint="eastAsia" w:ascii="仿宋_GB2312" w:hAnsi="仿宋_GB2312" w:eastAsia="仿宋_GB2312" w:cs="仿宋_GB2312"/>
                <w:color w:val="auto"/>
                <w:kern w:val="0"/>
                <w:sz w:val="30"/>
                <w:szCs w:val="30"/>
                <w:highlight w:val="none"/>
                <w:lang w:val="en-US" w:eastAsia="zh-CN" w:bidi="ar-SA"/>
              </w:rPr>
              <w:t>14.82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FF0000"/>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8.审计意见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highlight w:val="none"/>
          <w:lang w:eastAsia="zh-CN"/>
        </w:rPr>
      </w:pPr>
      <w:r>
        <w:rPr>
          <w:rFonts w:hint="eastAsia" w:ascii="仿宋_GB2312" w:hAnsi="Times New Roman" w:eastAsia="仿宋_GB2312" w:cs="Times New Roman"/>
          <w:spacing w:val="-6"/>
          <w:sz w:val="32"/>
          <w:szCs w:val="32"/>
          <w:highlight w:val="none"/>
          <w:lang w:val="en-US" w:eastAsia="zh-CN"/>
        </w:rPr>
        <w:t>本行2025年度财务会计报告经赣州建诚天安联合会计师事务所（普通合伙）按国内审计准则审计，注册会计师叶花、郑传新出具标准无保留意见的审计报告（赣建诚会师审字[2026]第0</w:t>
      </w:r>
      <w:r>
        <w:rPr>
          <w:rFonts w:hint="eastAsia" w:ascii="仿宋_GB2312" w:eastAsia="仿宋_GB2312" w:cs="Times New Roman"/>
          <w:spacing w:val="-6"/>
          <w:sz w:val="32"/>
          <w:szCs w:val="32"/>
          <w:highlight w:val="none"/>
          <w:lang w:val="en-US" w:eastAsia="zh-CN"/>
        </w:rPr>
        <w:t>18</w:t>
      </w:r>
      <w:r>
        <w:rPr>
          <w:rFonts w:hint="eastAsia" w:ascii="仿宋_GB2312" w:hAnsi="Times New Roman" w:eastAsia="仿宋_GB2312" w:cs="Times New Roman"/>
          <w:spacing w:val="-6"/>
          <w:sz w:val="32"/>
          <w:szCs w:val="32"/>
          <w:highlight w:val="none"/>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sz w:val="32"/>
          <w:szCs w:val="32"/>
          <w:highlight w:val="none"/>
          <w:lang w:eastAsia="zh-CN"/>
        </w:rPr>
        <w:t>（三）财务情况说明书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CN" w:bidi="ar-SA"/>
        </w:rPr>
        <w:t>1.主要业务数据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年末，</w:t>
      </w:r>
      <w:r>
        <w:rPr>
          <w:rFonts w:hint="eastAsia" w:ascii="仿宋_GB2312" w:hAnsi="仿宋_GB2312" w:eastAsia="仿宋_GB2312" w:cs="仿宋_GB2312"/>
          <w:color w:val="auto"/>
          <w:sz w:val="32"/>
          <w:szCs w:val="32"/>
          <w:highlight w:val="none"/>
          <w:lang w:val="en-US" w:eastAsia="zh-CN"/>
        </w:rPr>
        <w:t>本行</w:t>
      </w:r>
      <w:r>
        <w:rPr>
          <w:rFonts w:hint="eastAsia" w:ascii="仿宋_GB2312" w:hAnsi="仿宋_GB2312" w:eastAsia="仿宋_GB2312" w:cs="仿宋_GB2312"/>
          <w:color w:val="auto"/>
          <w:sz w:val="32"/>
          <w:szCs w:val="32"/>
          <w:highlight w:val="none"/>
          <w:lang w:eastAsia="zh-CN"/>
        </w:rPr>
        <w:t>各项资产总计</w:t>
      </w:r>
      <w:r>
        <w:rPr>
          <w:rFonts w:hint="eastAsia" w:ascii="仿宋_GB2312" w:hAnsi="仿宋_GB2312" w:eastAsia="仿宋_GB2312" w:cs="仿宋_GB2312"/>
          <w:color w:val="auto"/>
          <w:sz w:val="32"/>
          <w:szCs w:val="32"/>
          <w:highlight w:val="none"/>
          <w:lang w:val="en-US" w:eastAsia="zh-CN"/>
        </w:rPr>
        <w:t>1039118.38</w:t>
      </w:r>
      <w:r>
        <w:rPr>
          <w:rFonts w:hint="eastAsia" w:ascii="仿宋_GB2312" w:hAnsi="仿宋_GB2312" w:eastAsia="仿宋_GB2312" w:cs="仿宋_GB2312"/>
          <w:color w:val="auto"/>
          <w:sz w:val="32"/>
          <w:szCs w:val="32"/>
          <w:highlight w:val="none"/>
          <w:lang w:eastAsia="zh-CN"/>
        </w:rPr>
        <w:t xml:space="preserve"> 万元，负债总计</w:t>
      </w:r>
      <w:r>
        <w:rPr>
          <w:rFonts w:hint="eastAsia" w:ascii="仿宋_GB2312" w:hAnsi="仿宋_GB2312" w:eastAsia="仿宋_GB2312" w:cs="仿宋_GB2312"/>
          <w:color w:val="auto"/>
          <w:sz w:val="32"/>
          <w:szCs w:val="32"/>
          <w:highlight w:val="none"/>
          <w:lang w:val="en-US" w:eastAsia="zh-CN"/>
        </w:rPr>
        <w:t>932165.49</w:t>
      </w:r>
      <w:r>
        <w:rPr>
          <w:rFonts w:hint="eastAsia" w:ascii="仿宋_GB2312" w:hAnsi="仿宋_GB2312" w:eastAsia="仿宋_GB2312" w:cs="仿宋_GB2312"/>
          <w:color w:val="auto"/>
          <w:sz w:val="32"/>
          <w:szCs w:val="32"/>
          <w:highlight w:val="none"/>
          <w:lang w:eastAsia="zh-CN"/>
        </w:rPr>
        <w:t>万元，所有者权益</w:t>
      </w:r>
      <w:r>
        <w:rPr>
          <w:rFonts w:hint="eastAsia" w:ascii="仿宋_GB2312" w:hAnsi="仿宋_GB2312" w:eastAsia="仿宋_GB2312" w:cs="仿宋_GB2312"/>
          <w:color w:val="auto"/>
          <w:sz w:val="32"/>
          <w:szCs w:val="32"/>
          <w:highlight w:val="none"/>
          <w:lang w:val="en-US" w:eastAsia="zh-CN"/>
        </w:rPr>
        <w:t>106952.89</w:t>
      </w:r>
      <w:r>
        <w:rPr>
          <w:rFonts w:hint="eastAsia" w:ascii="仿宋_GB2312" w:hAnsi="仿宋_GB2312" w:eastAsia="仿宋_GB2312" w:cs="仿宋_GB2312"/>
          <w:color w:val="auto"/>
          <w:sz w:val="32"/>
          <w:szCs w:val="32"/>
          <w:highlight w:val="none"/>
          <w:lang w:eastAsia="zh-CN"/>
        </w:rPr>
        <w:t>万元，202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年实现各项收入</w:t>
      </w:r>
      <w:r>
        <w:rPr>
          <w:rFonts w:hint="eastAsia" w:ascii="仿宋_GB2312" w:hAnsi="仿宋_GB2312" w:eastAsia="仿宋_GB2312" w:cs="仿宋_GB2312"/>
          <w:color w:val="auto"/>
          <w:sz w:val="32"/>
          <w:szCs w:val="32"/>
          <w:highlight w:val="none"/>
          <w:lang w:val="en-US" w:eastAsia="zh-CN"/>
        </w:rPr>
        <w:t>46294.18</w:t>
      </w:r>
      <w:r>
        <w:rPr>
          <w:rFonts w:hint="eastAsia" w:ascii="仿宋_GB2312" w:hAnsi="仿宋_GB2312" w:eastAsia="仿宋_GB2312" w:cs="仿宋_GB2312"/>
          <w:color w:val="auto"/>
          <w:sz w:val="32"/>
          <w:szCs w:val="32"/>
          <w:highlight w:val="none"/>
          <w:lang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2.利润实现情况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本行2025年实现利润总额14072.64万元，同比上升765.86万元；当期所得税1964.87万元；实现净利润12107.77万元，同比增加1006.19万元。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3.利润分配情况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2025年实现净利润12107.77万元，提取法定盈余公积金1210.78万元。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4.不良贷款控制效果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2025年末，本行不良贷款余额为11874.65万元，不良贷款率1.49%。</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各类风险管理状况</w:t>
      </w:r>
    </w:p>
    <w:p>
      <w:pPr>
        <w:keepNext w:val="0"/>
        <w:keepLines w:val="0"/>
        <w:pageBreakBefore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olor w:val="auto"/>
          <w:sz w:val="32"/>
          <w:szCs w:val="32"/>
          <w:highlight w:val="none"/>
        </w:rPr>
      </w:pPr>
      <w:r>
        <w:rPr>
          <w:rFonts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年，本行继续强化内控管理，完善内控制度，积极采取措施，增收节支，加大计提各项拨备，抗风险能力进一步增强。</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楷体_GB2312" w:eastAsia="楷体_GB2312"/>
          <w:b/>
          <w:color w:val="00B0F0"/>
          <w:sz w:val="32"/>
          <w:szCs w:val="32"/>
          <w:highlight w:val="none"/>
          <w:lang w:eastAsia="zh-CN"/>
        </w:rPr>
      </w:pPr>
      <w:r>
        <w:rPr>
          <w:rFonts w:hint="eastAsia" w:ascii="楷体_GB2312" w:eastAsia="楷体_GB2312"/>
          <w:b/>
          <w:color w:val="auto"/>
          <w:sz w:val="32"/>
          <w:szCs w:val="32"/>
          <w:highlight w:val="none"/>
          <w:lang w:val="en-US" w:eastAsia="zh-CN"/>
        </w:rPr>
        <w:t>（一）</w:t>
      </w:r>
      <w:r>
        <w:rPr>
          <w:rFonts w:hint="eastAsia" w:ascii="楷体_GB2312" w:eastAsia="楷体_GB2312"/>
          <w:b/>
          <w:color w:val="auto"/>
          <w:sz w:val="32"/>
          <w:szCs w:val="32"/>
          <w:highlight w:val="none"/>
        </w:rPr>
        <w:t>董事会、高级管理层对风险的监控能力</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color w:val="auto"/>
          <w:sz w:val="32"/>
          <w:szCs w:val="32"/>
          <w:highlight w:val="none"/>
        </w:rPr>
      </w:pPr>
      <w:r>
        <w:rPr>
          <w:rFonts w:ascii="仿宋_GB2312" w:hAnsi="Times New Roman" w:eastAsia="仿宋_GB2312" w:cs="Times New Roman"/>
          <w:color w:val="auto"/>
          <w:sz w:val="32"/>
          <w:szCs w:val="32"/>
          <w:highlight w:val="none"/>
        </w:rPr>
        <w:t>依据《章程》规定，制定董事会议事规则，董事会设立风险管理</w:t>
      </w:r>
      <w:r>
        <w:rPr>
          <w:rFonts w:hint="eastAsia" w:ascii="仿宋_GB2312" w:eastAsia="仿宋_GB2312" w:cs="Times New Roman"/>
          <w:color w:val="auto"/>
          <w:sz w:val="32"/>
          <w:szCs w:val="32"/>
          <w:highlight w:val="none"/>
          <w:lang w:eastAsia="zh-CN"/>
        </w:rPr>
        <w:t>委员会、</w:t>
      </w:r>
      <w:r>
        <w:rPr>
          <w:rFonts w:ascii="仿宋_GB2312" w:hAnsi="Times New Roman" w:eastAsia="仿宋_GB2312" w:cs="Times New Roman"/>
          <w:color w:val="auto"/>
          <w:sz w:val="32"/>
          <w:szCs w:val="32"/>
          <w:highlight w:val="none"/>
        </w:rPr>
        <w:t>关联交易委员会、提名与薪酬委员会等专业管理监督机构，制定各委员会议事规则。本行高管层专业知识丰富，高管人员中均有</w:t>
      </w:r>
      <w:r>
        <w:rPr>
          <w:rFonts w:hint="eastAsia" w:ascii="仿宋_GB2312" w:hAnsi="Times New Roman" w:eastAsia="仿宋_GB2312" w:cs="Times New Roman"/>
          <w:color w:val="auto"/>
          <w:sz w:val="32"/>
          <w:szCs w:val="32"/>
          <w:highlight w:val="none"/>
          <w:lang w:eastAsia="zh-CN"/>
        </w:rPr>
        <w:t>较长年限的</w:t>
      </w:r>
      <w:r>
        <w:rPr>
          <w:rFonts w:ascii="仿宋_GB2312" w:hAnsi="Times New Roman" w:eastAsia="仿宋_GB2312" w:cs="Times New Roman"/>
          <w:color w:val="auto"/>
          <w:sz w:val="32"/>
          <w:szCs w:val="32"/>
          <w:highlight w:val="none"/>
        </w:rPr>
        <w:t>从业经历；设立</w:t>
      </w:r>
      <w:r>
        <w:rPr>
          <w:rFonts w:hint="eastAsia" w:ascii="仿宋_GB2312" w:eastAsia="仿宋_GB2312" w:cs="Times New Roman"/>
          <w:color w:val="auto"/>
          <w:sz w:val="32"/>
          <w:szCs w:val="32"/>
          <w:highlight w:val="none"/>
          <w:lang w:val="en-US" w:eastAsia="zh-CN"/>
        </w:rPr>
        <w:t>风险管理</w:t>
      </w:r>
      <w:r>
        <w:rPr>
          <w:rFonts w:ascii="仿宋_GB2312" w:hAnsi="Times New Roman" w:eastAsia="仿宋_GB2312" w:cs="Times New Roman"/>
          <w:color w:val="auto"/>
          <w:sz w:val="32"/>
          <w:szCs w:val="32"/>
          <w:highlight w:val="none"/>
        </w:rPr>
        <w:t>部，专门从事风险监测和管理。</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楷体_GB2312" w:cs="仿宋_GB2312"/>
          <w:b/>
          <w:bCs/>
          <w:color w:val="FF0000"/>
          <w:kern w:val="2"/>
          <w:sz w:val="32"/>
          <w:szCs w:val="32"/>
          <w:highlight w:val="none"/>
          <w:lang w:val="en-US" w:eastAsia="zh-CN" w:bidi="ar-SA"/>
        </w:rPr>
      </w:pPr>
      <w:r>
        <w:rPr>
          <w:rFonts w:hint="eastAsia" w:ascii="楷体_GB2312" w:eastAsia="楷体_GB2312"/>
          <w:b/>
          <w:color w:val="auto"/>
          <w:sz w:val="32"/>
          <w:szCs w:val="32"/>
          <w:highlight w:val="none"/>
          <w:lang w:val="en-US" w:eastAsia="zh-CN"/>
        </w:rPr>
        <w:t>（二）</w:t>
      </w:r>
      <w:r>
        <w:rPr>
          <w:rFonts w:ascii="楷体_GB2312" w:eastAsia="楷体_GB2312"/>
          <w:b/>
          <w:color w:val="auto"/>
          <w:sz w:val="32"/>
          <w:szCs w:val="32"/>
          <w:highlight w:val="none"/>
        </w:rPr>
        <w:t>风险管理的政策和程序</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制定相关业务对应的风险管理政策和程序，包含：风险识别、风险监测、风险预警、风险报告、风险化解、风险计量、风险控制与管理、风险评估、压力测试等。</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建立全面风险管理报告制度，明确报告的内容、频率和路线。报告内容包括总体风险和各类风险的整体状况、风险管理状况等。</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按季开展压力测试，压力测试的开展覆盖各类风险和表内外主要业务领域，并考虑各类风险之间的相互影响，将压力测试结果运用于风险管理和各项经营管理决策中。</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制定各类风险的应急处置预案，确保能够及时应对和处理紧急或危机情况。</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将风险管理策略、风险偏好、风险限额、风险管理政策和程序等要素与资本管理、业务管理相结合，在战略和经营计划制定、新产品审批、内部定价、绩效考评和薪酬激励等日常经营管理中充分应用并有效实施。</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楷体_GB2312" w:eastAsia="楷体_GB2312"/>
          <w:b/>
          <w:color w:val="auto"/>
          <w:sz w:val="32"/>
          <w:szCs w:val="32"/>
          <w:highlight w:val="none"/>
          <w:lang w:val="en-US" w:eastAsia="zh-CN"/>
        </w:rPr>
        <w:t>（三）</w:t>
      </w:r>
      <w:r>
        <w:rPr>
          <w:rFonts w:hint="eastAsia" w:ascii="仿宋_GB2312" w:hAnsi="仿宋_GB2312" w:eastAsia="仿宋_GB2312" w:cs="仿宋_GB2312"/>
          <w:b/>
          <w:color w:val="auto"/>
          <w:sz w:val="32"/>
          <w:szCs w:val="32"/>
          <w:highlight w:val="none"/>
        </w:rPr>
        <w:t>风险计量、检测和管理信息系统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Times New Roman" w:eastAsia="仿宋_GB2312" w:cs="Times New Roman"/>
          <w:b/>
          <w:bCs/>
          <w:color w:val="auto"/>
          <w:sz w:val="32"/>
          <w:szCs w:val="32"/>
          <w:highlight w:val="none"/>
        </w:rPr>
        <w:t>一是</w:t>
      </w:r>
      <w:r>
        <w:rPr>
          <w:rFonts w:hint="eastAsia" w:ascii="仿宋_GB2312" w:hAnsi="Times New Roman" w:eastAsia="仿宋_GB2312" w:cs="Times New Roman"/>
          <w:color w:val="auto"/>
          <w:sz w:val="32"/>
          <w:szCs w:val="32"/>
          <w:highlight w:val="none"/>
        </w:rPr>
        <w:t>成立专门的风险管理机构，风险管理基本能覆盖各主要风险，能够对信用风险、市场风险、利率风险、流动性风险、操作风险、法律风险及</w:t>
      </w:r>
      <w:r>
        <w:rPr>
          <w:rFonts w:hint="default" w:ascii="仿宋_GB2312" w:eastAsia="仿宋_GB2312" w:cs="Times New Roman"/>
          <w:color w:val="auto"/>
          <w:sz w:val="32"/>
          <w:szCs w:val="32"/>
          <w:highlight w:val="none"/>
        </w:rPr>
        <w:t>声</w:t>
      </w:r>
      <w:r>
        <w:rPr>
          <w:rFonts w:hint="eastAsia" w:ascii="仿宋_GB2312" w:hAnsi="Times New Roman" w:eastAsia="仿宋_GB2312" w:cs="Times New Roman"/>
          <w:color w:val="auto"/>
          <w:sz w:val="32"/>
          <w:szCs w:val="32"/>
          <w:highlight w:val="none"/>
        </w:rPr>
        <w:t>誉风险等各类风险进行持续的监控</w:t>
      </w:r>
      <w:r>
        <w:rPr>
          <w:rFonts w:hint="eastAsia" w:ascii="仿宋_GB2312" w:eastAsia="仿宋_GB2312" w:cs="Times New Roman"/>
          <w:color w:val="auto"/>
          <w:sz w:val="32"/>
          <w:szCs w:val="32"/>
          <w:highlight w:val="none"/>
          <w:lang w:eastAsia="zh-CN"/>
        </w:rPr>
        <w:t>。</w:t>
      </w:r>
      <w:r>
        <w:rPr>
          <w:rFonts w:hint="eastAsia" w:ascii="仿宋_GB2312" w:hAnsi="Times New Roman" w:eastAsia="仿宋_GB2312" w:cs="Times New Roman"/>
          <w:b/>
          <w:bCs/>
          <w:color w:val="auto"/>
          <w:sz w:val="32"/>
          <w:szCs w:val="32"/>
          <w:highlight w:val="none"/>
        </w:rPr>
        <w:t>二是</w:t>
      </w:r>
      <w:r>
        <w:rPr>
          <w:rFonts w:hint="eastAsia" w:ascii="仿宋_GB2312" w:hAnsi="Times New Roman" w:eastAsia="仿宋_GB2312" w:cs="Times New Roman"/>
          <w:color w:val="auto"/>
          <w:sz w:val="32"/>
          <w:szCs w:val="32"/>
          <w:highlight w:val="none"/>
        </w:rPr>
        <w:t>制定识别、计量、监测和管理风险的制度、程序和方法，建立信贷资信查询系统，采取贷款五级分类管理、信用评级等管理机制</w:t>
      </w:r>
      <w:r>
        <w:rPr>
          <w:rFonts w:hint="eastAsia" w:ascii="仿宋_GB2312" w:eastAsia="仿宋_GB2312" w:cs="Times New Roman"/>
          <w:color w:val="auto"/>
          <w:sz w:val="32"/>
          <w:szCs w:val="32"/>
          <w:highlight w:val="none"/>
          <w:lang w:eastAsia="zh-CN"/>
        </w:rPr>
        <w:t>。</w:t>
      </w:r>
      <w:r>
        <w:rPr>
          <w:rFonts w:hint="eastAsia" w:ascii="仿宋_GB2312" w:hAnsi="Times New Roman" w:eastAsia="仿宋_GB2312" w:cs="Times New Roman"/>
          <w:b/>
          <w:bCs/>
          <w:color w:val="auto"/>
          <w:sz w:val="32"/>
          <w:szCs w:val="32"/>
          <w:highlight w:val="none"/>
        </w:rPr>
        <w:t>三是</w:t>
      </w:r>
      <w:r>
        <w:rPr>
          <w:rFonts w:hint="eastAsia" w:ascii="仿宋_GB2312" w:hAnsi="Times New Roman" w:eastAsia="仿宋_GB2312" w:cs="Times New Roman"/>
          <w:color w:val="auto"/>
          <w:sz w:val="32"/>
          <w:szCs w:val="32"/>
          <w:highlight w:val="none"/>
        </w:rPr>
        <w:t>针对不断变化的环境和情况及时修订和完善风险控制的制度、方法和手段，以控制新出现的风险或以前未能控制的风险。有较完善的产品定价机制，能做到成本可算、风险可控</w:t>
      </w:r>
      <w:r>
        <w:rPr>
          <w:rFonts w:hint="eastAsia" w:ascii="仿宋_GB2312" w:eastAsia="仿宋_GB2312" w:cs="Times New Roman"/>
          <w:color w:val="auto"/>
          <w:sz w:val="32"/>
          <w:szCs w:val="32"/>
          <w:highlight w:val="none"/>
          <w:lang w:eastAsia="zh-CN"/>
        </w:rPr>
        <w:t>。</w:t>
      </w:r>
      <w:r>
        <w:rPr>
          <w:rFonts w:hint="eastAsia" w:ascii="仿宋_GB2312" w:eastAsia="仿宋_GB2312" w:cs="Times New Roman"/>
          <w:b/>
          <w:bCs/>
          <w:color w:val="auto"/>
          <w:sz w:val="32"/>
          <w:szCs w:val="32"/>
          <w:highlight w:val="none"/>
          <w:lang w:eastAsia="zh-CN"/>
        </w:rPr>
        <w:t>四是</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eastAsia="zh-CN"/>
        </w:rPr>
        <w:t>省行</w:t>
      </w:r>
      <w:r>
        <w:rPr>
          <w:rFonts w:hint="eastAsia" w:ascii="仿宋_GB2312" w:hAnsi="仿宋_GB2312" w:eastAsia="仿宋_GB2312" w:cs="仿宋_GB2312"/>
          <w:sz w:val="32"/>
          <w:szCs w:val="32"/>
          <w:highlight w:val="none"/>
        </w:rPr>
        <w:t>整体信息科技建设要求，</w:t>
      </w:r>
      <w:r>
        <w:rPr>
          <w:rFonts w:hint="eastAsia" w:ascii="仿宋_GB2312" w:hAnsi="仿宋_GB2312" w:eastAsia="仿宋_GB2312" w:cs="仿宋_GB2312"/>
          <w:sz w:val="32"/>
          <w:szCs w:val="32"/>
          <w:highlight w:val="none"/>
          <w:lang w:eastAsia="zh-CN"/>
        </w:rPr>
        <w:t>建立</w:t>
      </w:r>
      <w:r>
        <w:rPr>
          <w:rFonts w:hint="eastAsia" w:ascii="仿宋_GB2312" w:hAnsi="仿宋_GB2312" w:eastAsia="仿宋_GB2312" w:cs="仿宋_GB2312"/>
          <w:sz w:val="32"/>
          <w:szCs w:val="32"/>
          <w:highlight w:val="none"/>
        </w:rPr>
        <w:t>基本具备风险管理信息</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系统，</w:t>
      </w:r>
      <w:r>
        <w:rPr>
          <w:rFonts w:hint="eastAsia" w:ascii="仿宋_GB2312" w:hAnsi="仿宋_GB2312" w:eastAsia="仿宋_GB2312" w:cs="仿宋_GB2312"/>
          <w:sz w:val="32"/>
          <w:szCs w:val="32"/>
          <w:highlight w:val="none"/>
          <w:lang w:eastAsia="zh-CN"/>
        </w:rPr>
        <w:t>基本</w:t>
      </w:r>
      <w:r>
        <w:rPr>
          <w:rFonts w:hint="eastAsia" w:ascii="仿宋_GB2312" w:hAnsi="仿宋_GB2312" w:eastAsia="仿宋_GB2312" w:cs="仿宋_GB2312"/>
          <w:sz w:val="32"/>
          <w:szCs w:val="32"/>
          <w:highlight w:val="none"/>
        </w:rPr>
        <w:t>能够在法人层面计量、评估、展示、报告所有风险类别、产品和交易对手风险暴露的规模和构成。相关风险管理信息系统具备以下主要功能：</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支持风险限额管理，对超出风险限额的情况进行实时监测、预警和控制；</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能够计量、评估和报告所有风险类别、产品和交易对手的风险状况，满足全面风险管理需要；</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支持压力测试工作，评估各种不利情景对银行业金融机构及主要业务条线的影响。</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FF0000"/>
          <w:kern w:val="2"/>
          <w:sz w:val="32"/>
          <w:szCs w:val="32"/>
          <w:highlight w:val="none"/>
          <w:lang w:val="en-US" w:eastAsia="zh-CN" w:bidi="ar-SA"/>
        </w:rPr>
      </w:pPr>
      <w:r>
        <w:rPr>
          <w:rFonts w:hint="eastAsia" w:ascii="楷体_GB2312" w:eastAsia="楷体_GB2312"/>
          <w:b/>
          <w:color w:val="auto"/>
          <w:sz w:val="32"/>
          <w:szCs w:val="32"/>
          <w:highlight w:val="none"/>
          <w:lang w:val="en-US" w:eastAsia="zh-CN"/>
        </w:rPr>
        <w:t>（四）</w:t>
      </w:r>
      <w:r>
        <w:rPr>
          <w:rFonts w:ascii="楷体_GB2312" w:eastAsia="楷体_GB2312"/>
          <w:b/>
          <w:color w:val="auto"/>
          <w:sz w:val="32"/>
          <w:szCs w:val="32"/>
          <w:highlight w:val="none"/>
        </w:rPr>
        <w:t>内部控制和全面审计情况</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一是</w:t>
      </w:r>
      <w:r>
        <w:rPr>
          <w:rFonts w:hint="eastAsia" w:ascii="仿宋_GB2312" w:hAnsi="仿宋_GB2312" w:eastAsia="仿宋_GB2312" w:cs="仿宋_GB2312"/>
          <w:sz w:val="32"/>
          <w:szCs w:val="32"/>
          <w:highlight w:val="none"/>
        </w:rPr>
        <w:t>离任审计工作开展情况。对重要岗位人员办理调任、离职等事项前进行经济责任审计，对任职期间业务经营、内部管理、制度执行、廉政建设等方面情况进行全面</w:t>
      </w:r>
      <w:r>
        <w:rPr>
          <w:rFonts w:hint="eastAsia" w:ascii="仿宋_GB2312" w:hAnsi="仿宋_GB2312" w:eastAsia="仿宋_GB2312" w:cs="仿宋_GB2312"/>
          <w:color w:val="auto"/>
          <w:sz w:val="32"/>
          <w:szCs w:val="32"/>
          <w:highlight w:val="none"/>
        </w:rPr>
        <w:t>审计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rPr>
        <w:t>二是</w:t>
      </w:r>
      <w:r>
        <w:rPr>
          <w:rFonts w:hint="eastAsia" w:ascii="仿宋_GB2312" w:hAnsi="仿宋_GB2312" w:eastAsia="仿宋_GB2312" w:cs="仿宋_GB2312"/>
          <w:color w:val="auto"/>
          <w:sz w:val="32"/>
          <w:szCs w:val="32"/>
          <w:highlight w:val="none"/>
        </w:rPr>
        <w:t>专项审计工作开展情况。开展反洗钱、新形成不良贷款、不良资产处置合规性、后续跟踪、薪酬管理、柜面业务风险、金融消费者权</w:t>
      </w:r>
      <w:r>
        <w:rPr>
          <w:rFonts w:hint="eastAsia" w:ascii="仿宋_GB2312" w:hAnsi="仿宋_GB2312" w:eastAsia="仿宋_GB2312" w:cs="仿宋_GB2312"/>
          <w:sz w:val="32"/>
          <w:szCs w:val="32"/>
          <w:highlight w:val="none"/>
        </w:rPr>
        <w:t>益保护、全面风险管理、财务管理、资金业务、金融资产分类合规性、征信管理等专项审计，对所有网点库存现金及重要空白凭证进行定期检查。</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楷体_GB2312" w:eastAsia="楷体_GB2312"/>
          <w:b/>
          <w:color w:val="auto"/>
          <w:sz w:val="32"/>
          <w:szCs w:val="32"/>
          <w:highlight w:val="none"/>
          <w:lang w:val="en-US" w:eastAsia="zh-CN"/>
        </w:rPr>
        <w:t>（五）</w:t>
      </w:r>
      <w:r>
        <w:rPr>
          <w:rFonts w:hint="eastAsia" w:ascii="楷体_GB2312" w:eastAsia="楷体_GB2312"/>
          <w:b/>
          <w:color w:val="auto"/>
          <w:sz w:val="32"/>
          <w:szCs w:val="32"/>
          <w:highlight w:val="none"/>
        </w:rPr>
        <w:t>信用风险状况</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1.</w:t>
      </w:r>
      <w:r>
        <w:rPr>
          <w:rFonts w:hint="eastAsia" w:ascii="仿宋_GB2312" w:hAnsi="仿宋_GB2312" w:eastAsia="仿宋_GB2312" w:cs="仿宋_GB2312"/>
          <w:b/>
          <w:color w:val="auto"/>
          <w:sz w:val="32"/>
          <w:szCs w:val="32"/>
          <w:highlight w:val="none"/>
        </w:rPr>
        <w:t>信用风险管理</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风险管理和控制政策方面，</w:t>
      </w:r>
      <w:r>
        <w:rPr>
          <w:rFonts w:hint="eastAsia" w:ascii="仿宋_GB2312" w:hAnsi="仿宋_GB2312" w:eastAsia="仿宋_GB2312" w:cs="仿宋_GB2312"/>
          <w:b/>
          <w:color w:val="auto"/>
          <w:sz w:val="32"/>
          <w:szCs w:val="32"/>
          <w:highlight w:val="none"/>
        </w:rPr>
        <w:t>一是</w:t>
      </w:r>
      <w:r>
        <w:rPr>
          <w:rFonts w:hint="eastAsia" w:ascii="仿宋_GB2312" w:hAnsi="仿宋_GB2312" w:eastAsia="仿宋_GB2312" w:cs="仿宋_GB2312"/>
          <w:color w:val="auto"/>
          <w:sz w:val="32"/>
          <w:szCs w:val="32"/>
          <w:highlight w:val="none"/>
        </w:rPr>
        <w:t>建立审贷分离相互制衡的风险控制体系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color w:val="auto"/>
          <w:sz w:val="32"/>
          <w:szCs w:val="32"/>
          <w:highlight w:val="none"/>
        </w:rPr>
        <w:t>二是</w:t>
      </w:r>
      <w:r>
        <w:rPr>
          <w:rFonts w:hint="eastAsia" w:ascii="仿宋_GB2312" w:hAnsi="仿宋_GB2312" w:eastAsia="仿宋_GB2312" w:cs="仿宋_GB2312"/>
          <w:color w:val="auto"/>
          <w:sz w:val="32"/>
          <w:szCs w:val="32"/>
          <w:highlight w:val="none"/>
        </w:rPr>
        <w:t>加强对分支机构资产质量考核和风险责任人考核制度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color w:val="auto"/>
          <w:sz w:val="32"/>
          <w:szCs w:val="32"/>
          <w:highlight w:val="none"/>
        </w:rPr>
        <w:t>三是</w:t>
      </w:r>
      <w:r>
        <w:rPr>
          <w:rFonts w:hint="eastAsia" w:ascii="仿宋_GB2312" w:hAnsi="仿宋_GB2312" w:eastAsia="仿宋_GB2312" w:cs="仿宋_GB2312"/>
          <w:color w:val="auto"/>
          <w:sz w:val="32"/>
          <w:szCs w:val="32"/>
          <w:highlight w:val="none"/>
        </w:rPr>
        <w:t>在加强对不良资产的重点监控与管理等方面明确相关措施。</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2.</w:t>
      </w:r>
      <w:r>
        <w:rPr>
          <w:rFonts w:hint="eastAsia" w:ascii="仿宋_GB2312" w:hAnsi="仿宋_GB2312" w:eastAsia="仿宋_GB2312" w:cs="仿宋_GB2312"/>
          <w:b/>
          <w:color w:val="auto"/>
          <w:sz w:val="32"/>
          <w:szCs w:val="32"/>
          <w:highlight w:val="none"/>
        </w:rPr>
        <w:t>资产风险分类的程序和方法</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green"/>
        </w:rPr>
      </w:pPr>
      <w:r>
        <w:rPr>
          <w:rFonts w:hint="eastAsia" w:ascii="仿宋_GB2312" w:hAnsi="仿宋_GB2312" w:eastAsia="仿宋_GB2312" w:cs="仿宋_GB2312"/>
          <w:color w:val="auto"/>
          <w:sz w:val="32"/>
          <w:szCs w:val="32"/>
          <w:highlight w:val="none"/>
        </w:rPr>
        <w:t>本行按照审慎经营、风险防范为本的管理理念，对信贷资产进行五级分类，根据安全履行合同，及时足额偿还的可能性</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将信贷资产分为正常、关注、次级、可疑和损失五个类别，后三类合称为不良信贷资产，以揭示信贷资产实际价值和风险程度，真实、全面、动态地反映信贷资产质量。信贷资产风险分类是在对借款人经营状况、财务状况、担保、非财务等各项因素进行全面、综合分析的基础上，按照分类标准进行分类。信贷资产风险分类实行</w:t>
      </w:r>
      <w:r>
        <w:rPr>
          <w:rFonts w:hint="eastAsia" w:ascii="仿宋_GB2312" w:hAnsi="仿宋_GB2312" w:eastAsia="仿宋_GB2312" w:cs="仿宋_GB2312"/>
          <w:color w:val="auto"/>
          <w:sz w:val="32"/>
          <w:szCs w:val="32"/>
          <w:highlight w:val="none"/>
          <w:lang w:eastAsia="zh-CN"/>
        </w:rPr>
        <w:t>支行</w:t>
      </w:r>
      <w:r>
        <w:rPr>
          <w:rFonts w:hint="eastAsia" w:ascii="仿宋_GB2312" w:hAnsi="仿宋_GB2312" w:eastAsia="仿宋_GB2312" w:cs="仿宋_GB2312"/>
          <w:color w:val="auto"/>
          <w:sz w:val="32"/>
          <w:szCs w:val="32"/>
          <w:highlight w:val="none"/>
        </w:rPr>
        <w:t>初分，分级认定，</w:t>
      </w:r>
      <w:r>
        <w:rPr>
          <w:rFonts w:hint="eastAsia" w:ascii="仿宋_GB2312" w:hAnsi="仿宋_GB2312" w:eastAsia="仿宋_GB2312" w:cs="仿宋_GB2312"/>
          <w:color w:val="auto"/>
          <w:sz w:val="32"/>
          <w:szCs w:val="32"/>
          <w:highlight w:val="none"/>
          <w:lang w:eastAsia="zh-CN"/>
        </w:rPr>
        <w:t>总行审批流程</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楷体_GB2312" w:eastAsia="楷体_GB2312"/>
          <w:b/>
          <w:color w:val="auto"/>
          <w:sz w:val="32"/>
          <w:szCs w:val="32"/>
          <w:highlight w:val="none"/>
          <w:lang w:eastAsia="zh-CN"/>
        </w:rPr>
      </w:pPr>
      <w:r>
        <w:rPr>
          <w:rFonts w:hint="eastAsia" w:ascii="楷体_GB2312" w:eastAsia="楷体_GB2312"/>
          <w:b/>
          <w:color w:val="auto"/>
          <w:sz w:val="32"/>
          <w:szCs w:val="32"/>
          <w:highlight w:val="none"/>
          <w:lang w:val="en-US" w:eastAsia="zh-CN"/>
        </w:rPr>
        <w:t>3.</w:t>
      </w:r>
      <w:r>
        <w:rPr>
          <w:rFonts w:ascii="楷体_GB2312" w:eastAsia="楷体_GB2312"/>
          <w:b/>
          <w:color w:val="auto"/>
          <w:sz w:val="32"/>
          <w:szCs w:val="32"/>
          <w:highlight w:val="none"/>
        </w:rPr>
        <w:t>信贷资产分布情况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行以“立足本土、服务社区、支农支小”为市场定位，重点满足“三农”及小微企业的信贷需求，大力拓宽服务领域，结合金融“五篇大文章”不断创新服务手段，大力促进城乡经济协调发展，贷款分布主要集中在农、林、牧、渔业，批发和零售业等个人贷款业务。至2025年末，涉农贷款余额42.22亿元，较年初增加2.23亿元，实现涉农贷款持续增长目标；小微企业贷款余额25.25亿元，较年初增加2.42亿元，增幅10.62%；其中1000万元以下普惠型小微企业贷款余额22.13亿元，较年初增加1.82亿，增速8.98%，高于各项贷款 (剔除票据) 增速5.31个百分点，实现两增两控目标；普惠型小微贷款9915户，较年初增加23户；绿色贷款余额1.5亿元，涵盖绿色农业、绿色林业、资源循环利用、可再生能源及清洁能源等多个项目，主动履行我行在环境、资源等方面的社会责任。</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default" w:ascii="楷体_GB2312" w:eastAsia="楷体_GB2312"/>
          <w:b/>
          <w:color w:val="auto"/>
          <w:sz w:val="32"/>
          <w:szCs w:val="32"/>
          <w:highlight w:val="none"/>
          <w:lang w:val="en-US" w:eastAsia="zh-CN"/>
        </w:rPr>
      </w:pPr>
      <w:r>
        <w:rPr>
          <w:rFonts w:hint="eastAsia" w:ascii="楷体_GB2312" w:eastAsia="楷体_GB2312"/>
          <w:b/>
          <w:color w:val="auto"/>
          <w:sz w:val="32"/>
          <w:szCs w:val="32"/>
          <w:highlight w:val="none"/>
          <w:lang w:val="en-US" w:eastAsia="zh-CN"/>
        </w:rPr>
        <w:t>4.</w:t>
      </w:r>
      <w:r>
        <w:rPr>
          <w:rFonts w:ascii="楷体_GB2312" w:eastAsia="楷体_GB2312"/>
          <w:b/>
          <w:color w:val="auto"/>
          <w:sz w:val="32"/>
          <w:szCs w:val="32"/>
          <w:highlight w:val="none"/>
        </w:rPr>
        <w:t>信用风险集中程度</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授信集中度合理，符合监管要求。202</w:t>
      </w: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年末，</w:t>
      </w:r>
      <w:r>
        <w:rPr>
          <w:rFonts w:hint="eastAsia" w:ascii="仿宋_GB2312" w:eastAsia="仿宋_GB2312"/>
          <w:color w:val="auto"/>
          <w:sz w:val="32"/>
          <w:szCs w:val="32"/>
          <w:highlight w:val="none"/>
        </w:rPr>
        <w:t>非同业单一客户风险暴露集中度</w:t>
      </w:r>
      <w:r>
        <w:rPr>
          <w:rFonts w:hint="eastAsia" w:ascii="仿宋_GB2312" w:eastAsia="仿宋_GB2312"/>
          <w:color w:val="auto"/>
          <w:sz w:val="32"/>
          <w:szCs w:val="32"/>
          <w:highlight w:val="none"/>
          <w:lang w:val="en-US" w:eastAsia="zh-CN"/>
        </w:rPr>
        <w:t>3.90</w:t>
      </w:r>
      <w:r>
        <w:rPr>
          <w:rFonts w:ascii="仿宋_GB2312" w:eastAsia="仿宋_GB2312"/>
          <w:color w:val="auto"/>
          <w:sz w:val="32"/>
          <w:szCs w:val="32"/>
          <w:highlight w:val="none"/>
        </w:rPr>
        <w:t>%，</w:t>
      </w:r>
      <w:r>
        <w:rPr>
          <w:rFonts w:hint="eastAsia" w:ascii="仿宋_GB2312" w:eastAsia="仿宋_GB2312"/>
          <w:color w:val="auto"/>
          <w:sz w:val="32"/>
          <w:szCs w:val="32"/>
          <w:highlight w:val="none"/>
        </w:rPr>
        <w:t>非同业单一客户贷款集中度</w:t>
      </w:r>
      <w:r>
        <w:rPr>
          <w:rFonts w:hint="eastAsia" w:ascii="仿宋_GB2312" w:eastAsia="仿宋_GB2312"/>
          <w:color w:val="auto"/>
          <w:sz w:val="32"/>
          <w:szCs w:val="32"/>
          <w:highlight w:val="none"/>
          <w:lang w:val="en-US" w:eastAsia="zh-CN"/>
        </w:rPr>
        <w:t>2.65%，非同业集团及经济依存客户风险暴露集中度5.24%，同业单一客户风险暴露集中度16.74%，同业集团客户风险暴露集中度0%，最大单家同业融出比例20.49%，单一客户关联度0.13%，</w:t>
      </w:r>
      <w:r>
        <w:rPr>
          <w:rFonts w:ascii="仿宋_GB2312" w:eastAsia="仿宋_GB2312"/>
          <w:color w:val="auto"/>
          <w:sz w:val="32"/>
          <w:szCs w:val="32"/>
          <w:highlight w:val="none"/>
        </w:rPr>
        <w:t>全部关联度</w:t>
      </w:r>
      <w:r>
        <w:rPr>
          <w:rFonts w:hint="eastAsia" w:ascii="仿宋_GB2312" w:eastAsia="仿宋_GB2312"/>
          <w:color w:val="auto"/>
          <w:sz w:val="32"/>
          <w:szCs w:val="32"/>
          <w:highlight w:val="none"/>
          <w:lang w:val="en-US" w:eastAsia="zh-CN"/>
        </w:rPr>
        <w:t>1.31</w:t>
      </w:r>
      <w:r>
        <w:rPr>
          <w:rFonts w:ascii="仿宋_GB2312" w:eastAsia="仿宋_GB2312"/>
          <w:color w:val="auto"/>
          <w:sz w:val="32"/>
          <w:szCs w:val="32"/>
          <w:highlight w:val="none"/>
        </w:rPr>
        <w:t>%，均</w:t>
      </w:r>
      <w:r>
        <w:rPr>
          <w:rFonts w:hint="eastAsia" w:ascii="仿宋_GB2312" w:eastAsia="仿宋_GB2312"/>
          <w:color w:val="auto"/>
          <w:sz w:val="32"/>
          <w:szCs w:val="32"/>
          <w:highlight w:val="none"/>
          <w:lang w:eastAsia="zh-CN"/>
        </w:rPr>
        <w:t>优于</w:t>
      </w:r>
      <w:r>
        <w:rPr>
          <w:rFonts w:ascii="仿宋_GB2312" w:eastAsia="仿宋_GB2312"/>
          <w:color w:val="auto"/>
          <w:sz w:val="32"/>
          <w:szCs w:val="32"/>
          <w:highlight w:val="none"/>
        </w:rPr>
        <w:t>监管要求。</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楷体_GB2312" w:eastAsia="楷体_GB2312"/>
          <w:b/>
          <w:color w:val="auto"/>
          <w:sz w:val="32"/>
          <w:szCs w:val="32"/>
          <w:highlight w:val="none"/>
          <w:lang w:eastAsia="zh-CN"/>
        </w:rPr>
      </w:pPr>
      <w:r>
        <w:rPr>
          <w:rFonts w:hint="eastAsia" w:ascii="楷体_GB2312" w:eastAsia="楷体_GB2312"/>
          <w:b/>
          <w:color w:val="auto"/>
          <w:sz w:val="32"/>
          <w:szCs w:val="32"/>
          <w:highlight w:val="none"/>
          <w:lang w:val="en-US" w:eastAsia="zh-CN"/>
        </w:rPr>
        <w:t>（六）</w:t>
      </w:r>
      <w:r>
        <w:rPr>
          <w:rFonts w:ascii="楷体_GB2312" w:eastAsia="楷体_GB2312"/>
          <w:b/>
          <w:color w:val="auto"/>
          <w:sz w:val="32"/>
          <w:szCs w:val="32"/>
          <w:highlight w:val="none"/>
        </w:rPr>
        <w:t>流动性风险状况</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hAnsi="Times New Roman" w:eastAsia="仿宋_GB2312" w:cs="Times New Roman"/>
          <w:color w:val="auto"/>
          <w:sz w:val="32"/>
          <w:szCs w:val="32"/>
          <w:highlight w:val="none"/>
        </w:rPr>
        <w:t>流动性指标基本符合监管要求。202</w:t>
      </w:r>
      <w:r>
        <w:rPr>
          <w:rFonts w:hint="eastAsia" w:ascii="仿宋_GB2312"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rPr>
        <w:t>年末，流动性比例</w:t>
      </w:r>
      <w:r>
        <w:rPr>
          <w:rFonts w:hint="eastAsia" w:ascii="仿宋_GB2312" w:eastAsia="仿宋_GB2312" w:cs="Times New Roman"/>
          <w:color w:val="auto"/>
          <w:sz w:val="32"/>
          <w:szCs w:val="32"/>
          <w:highlight w:val="none"/>
          <w:lang w:val="en-US" w:eastAsia="zh-CN"/>
        </w:rPr>
        <w:t>55.33</w:t>
      </w:r>
      <w:r>
        <w:rPr>
          <w:rFonts w:hint="eastAsia" w:ascii="仿宋_GB2312" w:hAnsi="Times New Roman" w:eastAsia="仿宋_GB2312" w:cs="Times New Roman"/>
          <w:color w:val="auto"/>
          <w:sz w:val="32"/>
          <w:szCs w:val="32"/>
          <w:highlight w:val="none"/>
        </w:rPr>
        <w:t>%,较去年</w:t>
      </w:r>
      <w:r>
        <w:rPr>
          <w:rFonts w:hint="eastAsia" w:ascii="仿宋_GB2312" w:eastAsia="仿宋_GB2312" w:cs="Times New Roman"/>
          <w:color w:val="auto"/>
          <w:sz w:val="32"/>
          <w:szCs w:val="32"/>
          <w:highlight w:val="none"/>
          <w:lang w:eastAsia="zh-CN"/>
        </w:rPr>
        <w:t>提升</w:t>
      </w:r>
      <w:r>
        <w:rPr>
          <w:rFonts w:hint="eastAsia" w:ascii="仿宋_GB2312" w:eastAsia="仿宋_GB2312" w:cs="Times New Roman"/>
          <w:color w:val="auto"/>
          <w:sz w:val="32"/>
          <w:szCs w:val="32"/>
          <w:highlight w:val="none"/>
          <w:lang w:val="en-US" w:eastAsia="zh-CN"/>
        </w:rPr>
        <w:t>14.99</w:t>
      </w:r>
      <w:r>
        <w:rPr>
          <w:rFonts w:hint="eastAsia" w:ascii="仿宋_GB2312" w:hAnsi="Times New Roman" w:eastAsia="仿宋_GB2312" w:cs="Times New Roman"/>
          <w:color w:val="auto"/>
          <w:sz w:val="32"/>
          <w:szCs w:val="32"/>
          <w:highlight w:val="none"/>
        </w:rPr>
        <w:t>个百分点，</w:t>
      </w:r>
      <w:r>
        <w:rPr>
          <w:rFonts w:hint="eastAsia" w:ascii="仿宋_GB2312" w:eastAsia="仿宋_GB2312" w:cs="Times New Roman"/>
          <w:color w:val="auto"/>
          <w:sz w:val="32"/>
          <w:szCs w:val="32"/>
          <w:highlight w:val="none"/>
          <w:lang w:eastAsia="zh-CN"/>
        </w:rPr>
        <w:t>优</w:t>
      </w:r>
      <w:r>
        <w:rPr>
          <w:rFonts w:hint="eastAsia" w:ascii="仿宋_GB2312" w:hAnsi="Times New Roman" w:eastAsia="仿宋_GB2312" w:cs="Times New Roman"/>
          <w:color w:val="auto"/>
          <w:sz w:val="32"/>
          <w:szCs w:val="32"/>
          <w:highlight w:val="none"/>
        </w:rPr>
        <w:t>于监管要求</w:t>
      </w:r>
      <w:r>
        <w:rPr>
          <w:rFonts w:hint="eastAsia" w:ascii="仿宋_GB2312" w:eastAsia="仿宋_GB2312" w:cs="Times New Roman"/>
          <w:color w:val="auto"/>
          <w:sz w:val="32"/>
          <w:szCs w:val="32"/>
          <w:highlight w:val="none"/>
          <w:lang w:val="en-US" w:eastAsia="zh-CN"/>
        </w:rPr>
        <w:t>30.33</w:t>
      </w:r>
      <w:r>
        <w:rPr>
          <w:rFonts w:hint="eastAsia" w:ascii="仿宋_GB2312" w:hAnsi="Times New Roman" w:eastAsia="仿宋_GB2312" w:cs="Times New Roman"/>
          <w:color w:val="auto"/>
          <w:sz w:val="32"/>
          <w:szCs w:val="32"/>
          <w:highlight w:val="none"/>
        </w:rPr>
        <w:t>个百分点;核心负债依存度</w:t>
      </w:r>
      <w:r>
        <w:rPr>
          <w:rFonts w:hint="eastAsia" w:ascii="仿宋_GB2312" w:eastAsia="仿宋_GB2312" w:cs="Times New Roman"/>
          <w:color w:val="auto"/>
          <w:sz w:val="32"/>
          <w:szCs w:val="32"/>
          <w:highlight w:val="none"/>
          <w:lang w:val="en-US" w:eastAsia="zh-CN"/>
        </w:rPr>
        <w:t>66.93</w:t>
      </w:r>
      <w:r>
        <w:rPr>
          <w:rFonts w:hint="eastAsia" w:ascii="仿宋_GB2312" w:hAnsi="Times New Roman" w:eastAsia="仿宋_GB2312" w:cs="Times New Roman"/>
          <w:color w:val="auto"/>
          <w:sz w:val="32"/>
          <w:szCs w:val="32"/>
          <w:highlight w:val="none"/>
        </w:rPr>
        <w:t>%，较去年同期</w:t>
      </w:r>
      <w:r>
        <w:rPr>
          <w:rFonts w:hint="eastAsia" w:ascii="仿宋_GB2312" w:eastAsia="仿宋_GB2312" w:cs="Times New Roman"/>
          <w:color w:val="auto"/>
          <w:sz w:val="32"/>
          <w:szCs w:val="32"/>
          <w:highlight w:val="none"/>
          <w:lang w:eastAsia="zh-CN"/>
        </w:rPr>
        <w:t>提升</w:t>
      </w:r>
      <w:r>
        <w:rPr>
          <w:rFonts w:hint="eastAsia" w:ascii="仿宋_GB2312" w:eastAsia="仿宋_GB2312" w:cs="Times New Roman"/>
          <w:color w:val="auto"/>
          <w:sz w:val="32"/>
          <w:szCs w:val="32"/>
          <w:highlight w:val="none"/>
          <w:lang w:val="en-US" w:eastAsia="zh-CN"/>
        </w:rPr>
        <w:t>2.22</w:t>
      </w:r>
      <w:r>
        <w:rPr>
          <w:rFonts w:hint="eastAsia" w:ascii="仿宋_GB2312" w:hAnsi="Times New Roman" w:eastAsia="仿宋_GB2312" w:cs="Times New Roman"/>
          <w:color w:val="auto"/>
          <w:sz w:val="32"/>
          <w:szCs w:val="32"/>
          <w:highlight w:val="none"/>
        </w:rPr>
        <w:t>个百分点，</w:t>
      </w:r>
      <w:r>
        <w:rPr>
          <w:rFonts w:hint="eastAsia" w:ascii="仿宋_GB2312" w:eastAsia="仿宋_GB2312" w:cs="Times New Roman"/>
          <w:color w:val="auto"/>
          <w:sz w:val="32"/>
          <w:szCs w:val="32"/>
          <w:highlight w:val="none"/>
          <w:lang w:eastAsia="zh-CN"/>
        </w:rPr>
        <w:t>优</w:t>
      </w:r>
      <w:r>
        <w:rPr>
          <w:rFonts w:hint="eastAsia" w:ascii="仿宋_GB2312" w:hAnsi="Times New Roman" w:eastAsia="仿宋_GB2312" w:cs="Times New Roman"/>
          <w:color w:val="auto"/>
          <w:sz w:val="32"/>
          <w:szCs w:val="32"/>
          <w:highlight w:val="none"/>
        </w:rPr>
        <w:t>于监管要求</w:t>
      </w:r>
      <w:r>
        <w:rPr>
          <w:rFonts w:hint="eastAsia" w:ascii="仿宋_GB2312" w:eastAsia="仿宋_GB2312" w:cs="Times New Roman"/>
          <w:color w:val="auto"/>
          <w:sz w:val="32"/>
          <w:szCs w:val="32"/>
          <w:highlight w:val="none"/>
          <w:lang w:val="en-US" w:eastAsia="zh-CN"/>
        </w:rPr>
        <w:t>6.93</w:t>
      </w:r>
      <w:r>
        <w:rPr>
          <w:rFonts w:hint="eastAsia" w:ascii="仿宋_GB2312" w:hAnsi="Times New Roman" w:eastAsia="仿宋_GB2312" w:cs="Times New Roman"/>
          <w:color w:val="auto"/>
          <w:sz w:val="32"/>
          <w:szCs w:val="32"/>
          <w:highlight w:val="none"/>
        </w:rPr>
        <w:t>个百分点；流动性缺口率</w:t>
      </w:r>
      <w:r>
        <w:rPr>
          <w:rFonts w:hint="eastAsia" w:ascii="仿宋_GB2312" w:eastAsia="仿宋_GB2312" w:cs="Times New Roman"/>
          <w:color w:val="auto"/>
          <w:sz w:val="32"/>
          <w:szCs w:val="32"/>
          <w:highlight w:val="none"/>
          <w:lang w:val="en-US" w:eastAsia="zh-CN"/>
        </w:rPr>
        <w:t>20.68</w:t>
      </w:r>
      <w:r>
        <w:rPr>
          <w:rFonts w:hint="eastAsia" w:ascii="仿宋_GB2312" w:hAnsi="Times New Roman" w:eastAsia="仿宋_GB2312" w:cs="Times New Roman"/>
          <w:color w:val="auto"/>
          <w:sz w:val="32"/>
          <w:szCs w:val="32"/>
          <w:highlight w:val="none"/>
        </w:rPr>
        <w:t>%，较去年同期</w:t>
      </w:r>
      <w:r>
        <w:rPr>
          <w:rFonts w:hint="eastAsia" w:ascii="仿宋_GB2312" w:eastAsia="仿宋_GB2312" w:cs="Times New Roman"/>
          <w:color w:val="auto"/>
          <w:sz w:val="32"/>
          <w:szCs w:val="32"/>
          <w:highlight w:val="none"/>
          <w:lang w:eastAsia="zh-CN"/>
        </w:rPr>
        <w:t>提升</w:t>
      </w:r>
      <w:r>
        <w:rPr>
          <w:rFonts w:hint="eastAsia" w:ascii="仿宋_GB2312" w:eastAsia="仿宋_GB2312" w:cs="Times New Roman"/>
          <w:color w:val="auto"/>
          <w:sz w:val="32"/>
          <w:szCs w:val="32"/>
          <w:highlight w:val="none"/>
          <w:lang w:val="en-US" w:eastAsia="zh-CN"/>
        </w:rPr>
        <w:t>20.36</w:t>
      </w:r>
      <w:r>
        <w:rPr>
          <w:rFonts w:hint="eastAsia" w:ascii="仿宋_GB2312" w:hAnsi="Times New Roman" w:eastAsia="仿宋_GB2312" w:cs="Times New Roman"/>
          <w:color w:val="auto"/>
          <w:sz w:val="32"/>
          <w:szCs w:val="32"/>
          <w:highlight w:val="none"/>
        </w:rPr>
        <w:t>个百分点，</w:t>
      </w:r>
      <w:r>
        <w:rPr>
          <w:rFonts w:hint="eastAsia" w:ascii="仿宋_GB2312" w:eastAsia="仿宋_GB2312" w:cs="Times New Roman"/>
          <w:color w:val="auto"/>
          <w:sz w:val="32"/>
          <w:szCs w:val="32"/>
          <w:highlight w:val="none"/>
          <w:lang w:eastAsia="zh-CN"/>
        </w:rPr>
        <w:t>优</w:t>
      </w:r>
      <w:r>
        <w:rPr>
          <w:rFonts w:hint="eastAsia" w:ascii="仿宋_GB2312" w:hAnsi="Times New Roman" w:eastAsia="仿宋_GB2312" w:cs="Times New Roman"/>
          <w:color w:val="auto"/>
          <w:sz w:val="32"/>
          <w:szCs w:val="32"/>
          <w:highlight w:val="none"/>
        </w:rPr>
        <w:t>于监管要求</w:t>
      </w:r>
      <w:r>
        <w:rPr>
          <w:rFonts w:hint="eastAsia" w:ascii="仿宋_GB2312" w:eastAsia="仿宋_GB2312" w:cs="Times New Roman"/>
          <w:color w:val="auto"/>
          <w:sz w:val="32"/>
          <w:szCs w:val="32"/>
          <w:highlight w:val="none"/>
          <w:lang w:val="en-US" w:eastAsia="zh-CN"/>
        </w:rPr>
        <w:t>30.68</w:t>
      </w:r>
      <w:r>
        <w:rPr>
          <w:rFonts w:hint="eastAsia" w:ascii="仿宋_GB2312" w:hAnsi="Times New Roman" w:eastAsia="仿宋_GB2312" w:cs="Times New Roman"/>
          <w:color w:val="auto"/>
          <w:sz w:val="32"/>
          <w:szCs w:val="32"/>
          <w:highlight w:val="none"/>
        </w:rPr>
        <w:t>个百分点;</w:t>
      </w:r>
      <w:r>
        <w:rPr>
          <w:rFonts w:hint="eastAsia" w:ascii="仿宋_GB2312" w:eastAsia="仿宋_GB2312" w:cs="Times New Roman"/>
          <w:color w:val="auto"/>
          <w:sz w:val="32"/>
          <w:szCs w:val="32"/>
          <w:highlight w:val="none"/>
          <w:lang w:eastAsia="zh-CN"/>
        </w:rPr>
        <w:t>优质流动性资产充足率</w:t>
      </w:r>
      <w:r>
        <w:rPr>
          <w:rFonts w:hint="eastAsia" w:ascii="仿宋_GB2312" w:eastAsia="仿宋_GB2312" w:cs="Times New Roman"/>
          <w:color w:val="auto"/>
          <w:sz w:val="32"/>
          <w:szCs w:val="32"/>
          <w:highlight w:val="none"/>
          <w:lang w:val="en-US" w:eastAsia="zh-CN"/>
        </w:rPr>
        <w:t>238.96</w:t>
      </w:r>
      <w:r>
        <w:rPr>
          <w:rFonts w:hint="eastAsia" w:ascii="仿宋_GB2312" w:hAnsi="Times New Roman"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优</w:t>
      </w:r>
      <w:r>
        <w:rPr>
          <w:rFonts w:hint="eastAsia" w:ascii="仿宋_GB2312" w:hAnsi="Times New Roman" w:eastAsia="仿宋_GB2312" w:cs="Times New Roman"/>
          <w:color w:val="auto"/>
          <w:sz w:val="32"/>
          <w:szCs w:val="32"/>
          <w:highlight w:val="none"/>
        </w:rPr>
        <w:t>于监管要求</w:t>
      </w:r>
      <w:r>
        <w:rPr>
          <w:rFonts w:hint="eastAsia" w:ascii="仿宋_GB2312" w:eastAsia="仿宋_GB2312" w:cs="Times New Roman"/>
          <w:color w:val="auto"/>
          <w:sz w:val="32"/>
          <w:szCs w:val="32"/>
          <w:highlight w:val="none"/>
          <w:lang w:val="en-US" w:eastAsia="zh-CN"/>
        </w:rPr>
        <w:t>138.96</w:t>
      </w:r>
      <w:r>
        <w:rPr>
          <w:rFonts w:hint="eastAsia" w:ascii="仿宋_GB2312" w:hAnsi="Times New Roman" w:eastAsia="仿宋_GB2312" w:cs="Times New Roman"/>
          <w:color w:val="auto"/>
          <w:sz w:val="32"/>
          <w:szCs w:val="32"/>
          <w:highlight w:val="none"/>
        </w:rPr>
        <w:t>个百分点，较去年同期</w:t>
      </w:r>
      <w:r>
        <w:rPr>
          <w:rFonts w:hint="eastAsia" w:ascii="仿宋_GB2312" w:eastAsia="仿宋_GB2312" w:cs="Times New Roman"/>
          <w:color w:val="auto"/>
          <w:sz w:val="32"/>
          <w:szCs w:val="32"/>
          <w:highlight w:val="none"/>
          <w:lang w:eastAsia="zh-CN"/>
        </w:rPr>
        <w:t>提升</w:t>
      </w:r>
      <w:r>
        <w:rPr>
          <w:rFonts w:hint="eastAsia" w:ascii="仿宋_GB2312" w:eastAsia="仿宋_GB2312" w:cs="Times New Roman"/>
          <w:color w:val="auto"/>
          <w:sz w:val="32"/>
          <w:szCs w:val="32"/>
          <w:highlight w:val="none"/>
          <w:lang w:val="en-US" w:eastAsia="zh-CN"/>
        </w:rPr>
        <w:t>19.33</w:t>
      </w:r>
      <w:r>
        <w:rPr>
          <w:rFonts w:hint="eastAsia" w:ascii="仿宋_GB2312" w:hAnsi="Times New Roman" w:eastAsia="仿宋_GB2312" w:cs="Times New Roman"/>
          <w:color w:val="auto"/>
          <w:sz w:val="32"/>
          <w:szCs w:val="32"/>
          <w:highlight w:val="none"/>
        </w:rPr>
        <w:t>个百分点。</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楷体_GB2312" w:eastAsia="楷体_GB2312"/>
          <w:b/>
          <w:color w:val="auto"/>
          <w:sz w:val="32"/>
          <w:szCs w:val="32"/>
          <w:highlight w:val="none"/>
          <w:lang w:eastAsia="zh-CN"/>
        </w:rPr>
      </w:pPr>
      <w:r>
        <w:rPr>
          <w:rFonts w:hint="eastAsia" w:ascii="楷体_GB2312" w:eastAsia="楷体_GB2312"/>
          <w:b/>
          <w:color w:val="auto"/>
          <w:sz w:val="32"/>
          <w:szCs w:val="32"/>
          <w:highlight w:val="none"/>
          <w:lang w:val="en-US" w:eastAsia="zh-CN"/>
        </w:rPr>
        <w:t>（七）</w:t>
      </w:r>
      <w:r>
        <w:rPr>
          <w:rFonts w:ascii="楷体_GB2312" w:eastAsia="楷体_GB2312"/>
          <w:b/>
          <w:color w:val="auto"/>
          <w:sz w:val="32"/>
          <w:szCs w:val="32"/>
          <w:highlight w:val="none"/>
        </w:rPr>
        <w:t>操作风险状况</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为确保我行各项业务的正常运作，及时发现和纠正业务经营中存在的问题，</w:t>
      </w:r>
      <w:r>
        <w:rPr>
          <w:rFonts w:hint="eastAsia" w:ascii="仿宋_GB2312" w:hAnsi="仿宋_GB2312" w:eastAsia="仿宋_GB2312" w:cs="仿宋_GB2312"/>
          <w:sz w:val="32"/>
          <w:szCs w:val="32"/>
          <w:highlight w:val="none"/>
          <w:lang w:val="en-US" w:eastAsia="zh-CN"/>
        </w:rPr>
        <w:t>我行多措并举</w:t>
      </w:r>
      <w:r>
        <w:rPr>
          <w:rFonts w:hint="eastAsia" w:ascii="仿宋_GB2312" w:hAnsi="仿宋_GB2312" w:eastAsia="仿宋_GB2312" w:cs="仿宋_GB2312"/>
          <w:sz w:val="32"/>
          <w:szCs w:val="32"/>
          <w:highlight w:val="none"/>
        </w:rPr>
        <w:t>防范操作风险和事故的发生，促进各项业务合规经营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sz w:val="32"/>
          <w:szCs w:val="32"/>
          <w:highlight w:val="none"/>
        </w:rPr>
        <w:t>一是</w:t>
      </w:r>
      <w:r>
        <w:rPr>
          <w:rFonts w:hint="eastAsia" w:ascii="仿宋_GB2312" w:hAnsi="仿宋_GB2312" w:eastAsia="仿宋_GB2312" w:cs="仿宋_GB2312"/>
          <w:sz w:val="32"/>
          <w:szCs w:val="32"/>
          <w:highlight w:val="none"/>
        </w:rPr>
        <w:t>制定严格规范的业务流程，划清各部门、各岗位间业务边界，部门之间职责分工明确，相关职能适当分离，避免潜在的利益冲突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sz w:val="32"/>
          <w:szCs w:val="32"/>
          <w:highlight w:val="none"/>
        </w:rPr>
        <w:t>二是</w:t>
      </w:r>
      <w:r>
        <w:rPr>
          <w:rFonts w:hint="eastAsia" w:ascii="仿宋_GB2312" w:hAnsi="仿宋_GB2312" w:eastAsia="仿宋_GB2312" w:cs="仿宋_GB2312"/>
          <w:sz w:val="32"/>
          <w:szCs w:val="32"/>
          <w:highlight w:val="none"/>
        </w:rPr>
        <w:t>密切监测风险限额或权限的执行情况；定期对交易和账户进行复核和对账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sz w:val="32"/>
          <w:szCs w:val="32"/>
          <w:highlight w:val="none"/>
        </w:rPr>
        <w:t>三是</w:t>
      </w:r>
      <w:r>
        <w:rPr>
          <w:rFonts w:hint="eastAsia" w:ascii="仿宋_GB2312" w:hAnsi="仿宋_GB2312" w:eastAsia="仿宋_GB2312" w:cs="仿宋_GB2312"/>
          <w:sz w:val="32"/>
          <w:szCs w:val="32"/>
          <w:highlight w:val="none"/>
        </w:rPr>
        <w:t>强化员工培训，使员工的业务能力与业务发展相适应，通过培训提升员工的合规意识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sz w:val="32"/>
          <w:szCs w:val="32"/>
          <w:highlight w:val="none"/>
        </w:rPr>
        <w:t>四是</w:t>
      </w:r>
      <w:r>
        <w:rPr>
          <w:rFonts w:hint="eastAsia" w:ascii="仿宋_GB2312" w:hAnsi="仿宋_GB2312" w:eastAsia="仿宋_GB2312" w:cs="仿宋_GB2312"/>
          <w:sz w:val="32"/>
          <w:szCs w:val="32"/>
          <w:highlight w:val="none"/>
        </w:rPr>
        <w:t>建立员工署名揭发违法违规问题的激励和保护制度及对操作风险管控奖惩兼顾的激励约束机制；加强日常监督检查，不断纠正不规范行为，有效化解操作风险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sz w:val="32"/>
          <w:szCs w:val="32"/>
          <w:highlight w:val="none"/>
        </w:rPr>
        <w:t>五是</w:t>
      </w:r>
      <w:r>
        <w:rPr>
          <w:rFonts w:hint="eastAsia" w:ascii="仿宋_GB2312" w:hAnsi="仿宋_GB2312" w:eastAsia="仿宋_GB2312" w:cs="仿宋_GB2312"/>
          <w:sz w:val="32"/>
          <w:szCs w:val="32"/>
          <w:highlight w:val="none"/>
        </w:rPr>
        <w:t>切实抓好整改。对检查发现的问题，责令限期整改，明确整改责任人，问题责任人为整改执行责任人，运营主管为整改监督责任人，明确每一个问题的整改措施、整改期限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落实到岗到人，定期收集汇总整改相关资料，掌握整改进度，实行销号管理。</w:t>
      </w:r>
      <w:r>
        <w:rPr>
          <w:rFonts w:hint="eastAsia" w:ascii="仿宋_GB2312" w:hAnsi="仿宋_GB2312" w:eastAsia="仿宋_GB2312" w:cs="仿宋_GB2312"/>
          <w:b/>
          <w:sz w:val="32"/>
          <w:szCs w:val="32"/>
          <w:highlight w:val="none"/>
        </w:rPr>
        <w:t>六是</w:t>
      </w:r>
      <w:r>
        <w:rPr>
          <w:rFonts w:hint="eastAsia" w:ascii="仿宋_GB2312" w:hAnsi="仿宋_GB2312" w:eastAsia="仿宋_GB2312" w:cs="仿宋_GB2312"/>
          <w:sz w:val="32"/>
          <w:szCs w:val="32"/>
          <w:highlight w:val="none"/>
        </w:rPr>
        <w:t>强化风险管控。在信贷管理方面，严格执行贷款“三查”制度，督促贷款“三查”环节岗位人员履职尽职，按规定开展贷前实地调查、贷后实地检查，严把客户准入关，注重对贷款资金实际用途、第一还款来源、第二还款来源的调查、审查，加强客户关联信息、关联贷款的管理，对信用观念差、还贷意愿差、不配合贷前、贷后检查的客户审慎放</w:t>
      </w:r>
      <w:r>
        <w:rPr>
          <w:rFonts w:hint="eastAsia" w:ascii="仿宋_GB2312" w:hAnsi="仿宋_GB2312" w:eastAsia="仿宋_GB2312" w:cs="仿宋_GB2312"/>
          <w:color w:val="auto"/>
          <w:sz w:val="32"/>
          <w:szCs w:val="32"/>
          <w:highlight w:val="none"/>
        </w:rPr>
        <w:t>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color w:val="auto"/>
          <w:sz w:val="32"/>
          <w:szCs w:val="32"/>
          <w:highlight w:val="none"/>
        </w:rPr>
        <w:t>七是</w:t>
      </w:r>
      <w:r>
        <w:rPr>
          <w:rFonts w:hint="eastAsia" w:ascii="仿宋_GB2312" w:hAnsi="仿宋_GB2312" w:eastAsia="仿宋_GB2312" w:cs="仿宋_GB2312"/>
          <w:color w:val="auto"/>
          <w:sz w:val="32"/>
          <w:szCs w:val="32"/>
          <w:highlight w:val="none"/>
        </w:rPr>
        <w:t>建</w:t>
      </w:r>
      <w:r>
        <w:rPr>
          <w:rFonts w:hint="eastAsia" w:ascii="仿宋_GB2312" w:hAnsi="仿宋_GB2312" w:eastAsia="仿宋_GB2312" w:cs="仿宋_GB2312"/>
          <w:sz w:val="32"/>
          <w:szCs w:val="32"/>
          <w:highlight w:val="none"/>
        </w:rPr>
        <w:t>立长效机制。加强对员工的培训教育，重视全员的合规理念培育和业务操作指导，不断增强员工的合规意识、风险意识和责任意识。注重审计成果的运用，全面深入分析审计发现问题的成因，结合实际对相关问题进行纠正，对相关制度进行完善，争取以点带面、以审促改效果。</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截止报告日，我行未发生重大操作风险事件。</w:t>
      </w:r>
    </w:p>
    <w:p>
      <w:pPr>
        <w:keepNext w:val="0"/>
        <w:keepLines w:val="0"/>
        <w:pageBreakBefore w:val="0"/>
        <w:kinsoku/>
        <w:wordWrap/>
        <w:overflowPunct w:val="0"/>
        <w:topLinePunct w:val="0"/>
        <w:autoSpaceDE/>
        <w:autoSpaceDN/>
        <w:bidi w:val="0"/>
        <w:adjustRightInd/>
        <w:snapToGrid/>
        <w:spacing w:line="560" w:lineRule="exact"/>
        <w:ind w:firstLine="643" w:firstLineChars="200"/>
        <w:textAlignment w:val="auto"/>
        <w:rPr>
          <w:rFonts w:hint="eastAsia" w:ascii="楷体_GB2312" w:eastAsia="楷体_GB2312"/>
          <w:b/>
          <w:color w:val="auto"/>
          <w:sz w:val="32"/>
          <w:szCs w:val="32"/>
          <w:highlight w:val="none"/>
        </w:rPr>
      </w:pPr>
      <w:r>
        <w:rPr>
          <w:rFonts w:hint="eastAsia" w:ascii="楷体_GB2312" w:eastAsia="楷体_GB2312"/>
          <w:b/>
          <w:color w:val="auto"/>
          <w:sz w:val="32"/>
          <w:szCs w:val="32"/>
          <w:highlight w:val="none"/>
          <w:lang w:val="en-US" w:eastAsia="zh-CN"/>
        </w:rPr>
        <w:t>（八）</w:t>
      </w:r>
      <w:r>
        <w:rPr>
          <w:rFonts w:hint="eastAsia" w:ascii="楷体_GB2312" w:eastAsia="楷体_GB2312"/>
          <w:b/>
          <w:color w:val="auto"/>
          <w:sz w:val="32"/>
          <w:szCs w:val="32"/>
          <w:highlight w:val="none"/>
        </w:rPr>
        <w:t>同业竞争风险</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目前，随着金融市场对外开放和金融体制改革的深入，银行同业竞争将更加激烈，银行金融机构都面临诸如客户流失、市场份额下降等挑战。</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针对同业竞争风险，本行通过建立高效、灵活的经营机制，调整营销策略，合理确定市场定位，寻找市场空缺，加强服务手段创新，以提升核心竞争能力，培养并逐渐扩大基本客户群，稳定优质客户群，争取更大的市场份额，继续</w:t>
      </w:r>
      <w:r>
        <w:rPr>
          <w:rFonts w:hint="eastAsia" w:ascii="仿宋_GB2312" w:eastAsia="仿宋_GB2312"/>
          <w:color w:val="auto"/>
          <w:sz w:val="32"/>
          <w:szCs w:val="32"/>
          <w:highlight w:val="none"/>
          <w:lang w:eastAsia="zh-CN"/>
        </w:rPr>
        <w:t>发挥</w:t>
      </w:r>
      <w:r>
        <w:rPr>
          <w:rFonts w:ascii="仿宋_GB2312" w:eastAsia="仿宋_GB2312"/>
          <w:color w:val="auto"/>
          <w:sz w:val="32"/>
          <w:szCs w:val="32"/>
          <w:highlight w:val="none"/>
        </w:rPr>
        <w:t>业已形成的规模和机构网点优势，保持在同业竞争中的领先地位。</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楷体_GB2312" w:hAnsi="楷体_GB2312" w:eastAsia="楷体_GB2312" w:cs="楷体_GB2312"/>
          <w:b/>
          <w:color w:val="auto"/>
          <w:kern w:val="0"/>
          <w:sz w:val="32"/>
          <w:szCs w:val="32"/>
          <w:highlight w:val="none"/>
          <w:lang w:eastAsia="zh-CN"/>
        </w:rPr>
      </w:pPr>
      <w:r>
        <w:rPr>
          <w:rFonts w:hint="eastAsia" w:ascii="楷体" w:hAnsi="楷体" w:eastAsia="楷体" w:cs="楷体"/>
          <w:b/>
          <w:color w:val="auto"/>
          <w:sz w:val="32"/>
          <w:szCs w:val="32"/>
          <w:highlight w:val="none"/>
          <w:lang w:val="en-US" w:eastAsia="zh-CN"/>
        </w:rPr>
        <w:t>（九）</w:t>
      </w:r>
      <w:r>
        <w:rPr>
          <w:rFonts w:hint="eastAsia" w:ascii="楷体_GB2312" w:eastAsia="楷体_GB2312"/>
          <w:b/>
          <w:color w:val="auto"/>
          <w:sz w:val="32"/>
          <w:szCs w:val="32"/>
          <w:highlight w:val="none"/>
        </w:rPr>
        <w:t>信息技术风险</w:t>
      </w:r>
      <w:r>
        <w:rPr>
          <w:rFonts w:hint="eastAsia" w:ascii="楷体_GB2312" w:eastAsia="楷体_GB2312"/>
          <w:b/>
          <w:color w:val="auto"/>
          <w:sz w:val="32"/>
          <w:szCs w:val="32"/>
          <w:highlight w:val="none"/>
          <w:lang w:eastAsia="zh-CN"/>
        </w:rPr>
        <w:t>情况</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rPr>
        <w:t>信息技术风险主要是信息网络突发事件或不法分子借助网络系统、高科技手段实施犯罪而引发的风险</w:t>
      </w:r>
      <w:r>
        <w:rPr>
          <w:rFonts w:hint="eastAsia" w:ascii="仿宋_GB2312" w:hAnsi="Times New Roman" w:eastAsia="仿宋_GB2312" w:cs="Times New Roman"/>
          <w:color w:val="auto"/>
          <w:sz w:val="32"/>
          <w:szCs w:val="32"/>
          <w:highlight w:val="none"/>
          <w:lang w:val="en-US" w:eastAsia="zh-CN"/>
        </w:rPr>
        <w:t>或者因网络、系统、设备等原因造成的业务连续性风险</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为防范信息科技风险，</w:t>
      </w:r>
      <w:r>
        <w:rPr>
          <w:rFonts w:hint="eastAsia" w:ascii="仿宋_GB2312" w:hAnsi="Times New Roman" w:eastAsia="仿宋_GB2312" w:cs="Times New Roman"/>
          <w:color w:val="auto"/>
          <w:sz w:val="32"/>
          <w:szCs w:val="32"/>
          <w:highlight w:val="none"/>
        </w:rPr>
        <w:t>本行</w:t>
      </w:r>
      <w:r>
        <w:rPr>
          <w:rFonts w:hint="eastAsia" w:ascii="仿宋_GB2312" w:hAnsi="Times New Roman" w:eastAsia="仿宋_GB2312" w:cs="Times New Roman"/>
          <w:b/>
          <w:bCs/>
          <w:color w:val="auto"/>
          <w:sz w:val="32"/>
          <w:szCs w:val="32"/>
          <w:highlight w:val="none"/>
          <w:lang w:val="en-US" w:eastAsia="zh-CN"/>
        </w:rPr>
        <w:t>一是</w:t>
      </w:r>
      <w:r>
        <w:rPr>
          <w:rFonts w:hint="eastAsia" w:ascii="仿宋_GB2312" w:hAnsi="Times New Roman" w:eastAsia="仿宋_GB2312" w:cs="Times New Roman"/>
          <w:color w:val="auto"/>
          <w:sz w:val="32"/>
          <w:szCs w:val="32"/>
          <w:highlight w:val="none"/>
        </w:rPr>
        <w:t>推进信息科技建章立制工作，不断完善信息科技标准规范，结合本行实际制定计算机相应的内控制度，切实将本行的网络安全管理责任落到实处</w:t>
      </w:r>
      <w:r>
        <w:rPr>
          <w:rFonts w:hint="eastAsia" w:ascii="仿宋_GB2312" w:eastAsia="仿宋_GB2312" w:cs="Times New Roman"/>
          <w:color w:val="auto"/>
          <w:sz w:val="32"/>
          <w:szCs w:val="32"/>
          <w:highlight w:val="none"/>
          <w:lang w:eastAsia="zh-CN"/>
        </w:rPr>
        <w:t>。</w:t>
      </w:r>
      <w:r>
        <w:rPr>
          <w:rFonts w:hint="eastAsia" w:ascii="仿宋_GB2312" w:hAnsi="Times New Roman" w:eastAsia="仿宋_GB2312" w:cs="Times New Roman"/>
          <w:b/>
          <w:bCs/>
          <w:color w:val="auto"/>
          <w:sz w:val="32"/>
          <w:szCs w:val="32"/>
          <w:highlight w:val="none"/>
          <w:lang w:val="en-US" w:eastAsia="zh-CN"/>
        </w:rPr>
        <w:t>二是</w:t>
      </w:r>
      <w:r>
        <w:rPr>
          <w:rFonts w:hint="eastAsia" w:ascii="仿宋_GB2312" w:hAnsi="Times New Roman" w:eastAsia="仿宋_GB2312" w:cs="Times New Roman"/>
          <w:color w:val="auto"/>
          <w:sz w:val="32"/>
          <w:szCs w:val="32"/>
          <w:highlight w:val="none"/>
          <w:lang w:val="en-US" w:eastAsia="zh-CN"/>
        </w:rPr>
        <w:t>为保障业务连续性，本行更新业务设备</w:t>
      </w:r>
      <w:r>
        <w:rPr>
          <w:rFonts w:hint="eastAsia" w:ascii="仿宋_GB2312" w:eastAsia="仿宋_GB2312" w:cs="Times New Roman"/>
          <w:color w:val="auto"/>
          <w:sz w:val="32"/>
          <w:szCs w:val="32"/>
          <w:highlight w:val="none"/>
          <w:lang w:val="en-US" w:eastAsia="zh-CN"/>
        </w:rPr>
        <w:t>，对网络参数进行备份并确保备份有效性</w:t>
      </w:r>
      <w:r>
        <w:rPr>
          <w:rFonts w:hint="eastAsia" w:ascii="仿宋_GB2312" w:hAnsi="Times New Roman" w:eastAsia="仿宋_GB2312" w:cs="Times New Roman"/>
          <w:color w:val="auto"/>
          <w:sz w:val="32"/>
          <w:szCs w:val="32"/>
          <w:highlight w:val="none"/>
          <w:lang w:val="en-US" w:eastAsia="zh-CN"/>
        </w:rPr>
        <w:t>，按</w:t>
      </w:r>
      <w:r>
        <w:rPr>
          <w:rFonts w:hint="eastAsia" w:ascii="仿宋_GB2312" w:eastAsia="仿宋_GB2312" w:cs="Times New Roman"/>
          <w:color w:val="auto"/>
          <w:sz w:val="32"/>
          <w:szCs w:val="32"/>
          <w:highlight w:val="none"/>
          <w:lang w:val="en-US" w:eastAsia="zh-CN"/>
        </w:rPr>
        <w:t>省行</w:t>
      </w:r>
      <w:r>
        <w:rPr>
          <w:rFonts w:hint="eastAsia" w:ascii="仿宋_GB2312" w:hAnsi="Times New Roman" w:eastAsia="仿宋_GB2312" w:cs="Times New Roman"/>
          <w:color w:val="auto"/>
          <w:sz w:val="32"/>
          <w:szCs w:val="32"/>
          <w:highlight w:val="none"/>
          <w:lang w:val="en-US" w:eastAsia="zh-CN"/>
        </w:rPr>
        <w:t>要求开展网络应急演练</w:t>
      </w:r>
      <w:r>
        <w:rPr>
          <w:rFonts w:hint="eastAsia" w:ascii="仿宋_GB2312" w:eastAsia="仿宋_GB2312" w:cs="Times New Roman"/>
          <w:color w:val="auto"/>
          <w:sz w:val="32"/>
          <w:szCs w:val="32"/>
          <w:highlight w:val="none"/>
          <w:lang w:val="en-US" w:eastAsia="zh-CN"/>
        </w:rPr>
        <w:t>。</w:t>
      </w:r>
      <w:r>
        <w:rPr>
          <w:rFonts w:hint="eastAsia" w:ascii="仿宋_GB2312" w:hAnsi="Times New Roman" w:eastAsia="仿宋_GB2312" w:cs="Times New Roman"/>
          <w:b/>
          <w:bCs/>
          <w:color w:val="auto"/>
          <w:sz w:val="32"/>
          <w:szCs w:val="32"/>
          <w:highlight w:val="none"/>
          <w:lang w:val="en-US" w:eastAsia="zh-CN"/>
        </w:rPr>
        <w:t>三是</w:t>
      </w:r>
      <w:r>
        <w:rPr>
          <w:rFonts w:hint="eastAsia" w:ascii="仿宋_GB2312" w:hAnsi="Times New Roman" w:eastAsia="仿宋_GB2312" w:cs="Times New Roman"/>
          <w:color w:val="auto"/>
          <w:sz w:val="32"/>
          <w:szCs w:val="32"/>
          <w:highlight w:val="none"/>
          <w:lang w:val="en-US" w:eastAsia="zh-CN"/>
        </w:rPr>
        <w:t>加强</w:t>
      </w:r>
      <w:r>
        <w:rPr>
          <w:rFonts w:hint="eastAsia" w:ascii="仿宋_GB2312" w:hAnsi="Times New Roman" w:eastAsia="仿宋_GB2312" w:cs="Times New Roman"/>
          <w:color w:val="auto"/>
          <w:sz w:val="32"/>
          <w:szCs w:val="32"/>
          <w:highlight w:val="none"/>
        </w:rPr>
        <w:t>防病毒管理</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统一安装和布放</w:t>
      </w:r>
      <w:r>
        <w:rPr>
          <w:rFonts w:hint="eastAsia" w:ascii="仿宋_GB2312" w:eastAsia="仿宋_GB2312" w:cs="Times New Roman"/>
          <w:color w:val="auto"/>
          <w:sz w:val="32"/>
          <w:szCs w:val="32"/>
          <w:highlight w:val="none"/>
          <w:lang w:val="en-US" w:eastAsia="zh-CN"/>
        </w:rPr>
        <w:t>省行</w:t>
      </w:r>
      <w:r>
        <w:rPr>
          <w:rFonts w:hint="eastAsia" w:ascii="仿宋_GB2312" w:hAnsi="Times New Roman" w:eastAsia="仿宋_GB2312" w:cs="Times New Roman"/>
          <w:color w:val="auto"/>
          <w:sz w:val="32"/>
          <w:szCs w:val="32"/>
          <w:highlight w:val="none"/>
          <w:lang w:val="en-US" w:eastAsia="zh-CN"/>
        </w:rPr>
        <w:t>下发的“奇安信天擎”防病毒软件</w:t>
      </w:r>
      <w:r>
        <w:rPr>
          <w:rFonts w:hint="eastAsia" w:ascii="仿宋_GB2312" w:eastAsia="仿宋_GB2312" w:cs="Times New Roman"/>
          <w:color w:val="auto"/>
          <w:sz w:val="32"/>
          <w:szCs w:val="32"/>
          <w:highlight w:val="none"/>
          <w:lang w:val="en-US" w:eastAsia="zh-CN"/>
        </w:rPr>
        <w:t>。</w:t>
      </w:r>
      <w:r>
        <w:rPr>
          <w:rFonts w:hint="eastAsia" w:ascii="仿宋_GB2312" w:hAnsi="Times New Roman" w:eastAsia="仿宋_GB2312" w:cs="Times New Roman"/>
          <w:b/>
          <w:bCs/>
          <w:color w:val="auto"/>
          <w:sz w:val="32"/>
          <w:szCs w:val="32"/>
          <w:highlight w:val="none"/>
          <w:lang w:val="en-US" w:eastAsia="zh-CN"/>
        </w:rPr>
        <w:t>四是</w:t>
      </w:r>
      <w:r>
        <w:rPr>
          <w:rFonts w:hint="eastAsia" w:ascii="仿宋_GB2312" w:hAnsi="Times New Roman" w:eastAsia="仿宋_GB2312" w:cs="Times New Roman"/>
          <w:color w:val="auto"/>
          <w:sz w:val="32"/>
          <w:szCs w:val="32"/>
          <w:highlight w:val="none"/>
        </w:rPr>
        <w:t>持续做好内部</w:t>
      </w:r>
      <w:r>
        <w:rPr>
          <w:rFonts w:hint="eastAsia" w:ascii="仿宋_GB2312" w:hAnsi="Times New Roman" w:eastAsia="仿宋_GB2312" w:cs="Times New Roman"/>
          <w:color w:val="auto"/>
          <w:sz w:val="32"/>
          <w:szCs w:val="32"/>
          <w:highlight w:val="none"/>
          <w:lang w:val="en-US" w:eastAsia="zh-CN"/>
        </w:rPr>
        <w:t>信息科技</w:t>
      </w:r>
      <w:r>
        <w:rPr>
          <w:rFonts w:hint="eastAsia" w:ascii="仿宋_GB2312" w:hAnsi="Times New Roman" w:eastAsia="仿宋_GB2312" w:cs="Times New Roman"/>
          <w:color w:val="auto"/>
          <w:sz w:val="32"/>
          <w:szCs w:val="32"/>
          <w:highlight w:val="none"/>
        </w:rPr>
        <w:t>安全检查与保障</w:t>
      </w:r>
      <w:r>
        <w:rPr>
          <w:rFonts w:hint="eastAsia" w:ascii="仿宋_GB2312" w:eastAsia="仿宋_GB2312" w:cs="Times New Roman"/>
          <w:color w:val="auto"/>
          <w:sz w:val="32"/>
          <w:szCs w:val="32"/>
          <w:highlight w:val="none"/>
          <w:lang w:eastAsia="zh-CN"/>
        </w:rPr>
        <w:t>。</w:t>
      </w:r>
      <w:r>
        <w:rPr>
          <w:rFonts w:hint="eastAsia" w:ascii="仿宋_GB2312" w:hAnsi="Times New Roman" w:eastAsia="仿宋_GB2312" w:cs="Times New Roman"/>
          <w:b/>
          <w:bCs/>
          <w:color w:val="auto"/>
          <w:sz w:val="32"/>
          <w:szCs w:val="32"/>
          <w:highlight w:val="none"/>
          <w:lang w:val="en-US" w:eastAsia="zh-CN"/>
        </w:rPr>
        <w:t>五是</w:t>
      </w:r>
      <w:r>
        <w:rPr>
          <w:rFonts w:hint="eastAsia" w:ascii="仿宋_GB2312" w:hAnsi="Times New Roman" w:eastAsia="仿宋_GB2312" w:cs="Times New Roman"/>
          <w:color w:val="auto"/>
          <w:sz w:val="32"/>
          <w:szCs w:val="32"/>
          <w:highlight w:val="none"/>
          <w:lang w:val="en-US" w:eastAsia="zh-CN"/>
        </w:rPr>
        <w:t>对全行员工开展</w:t>
      </w:r>
      <w:r>
        <w:rPr>
          <w:rFonts w:hint="eastAsia" w:ascii="仿宋_GB2312" w:hAnsi="Times New Roman" w:eastAsia="仿宋_GB2312" w:cs="Times New Roman"/>
          <w:color w:val="auto"/>
          <w:sz w:val="32"/>
          <w:szCs w:val="32"/>
          <w:highlight w:val="none"/>
        </w:rPr>
        <w:t>信息</w:t>
      </w:r>
      <w:r>
        <w:rPr>
          <w:rFonts w:hint="eastAsia" w:ascii="仿宋_GB2312" w:hAnsi="Times New Roman" w:eastAsia="仿宋_GB2312" w:cs="Times New Roman"/>
          <w:color w:val="auto"/>
          <w:sz w:val="32"/>
          <w:szCs w:val="32"/>
          <w:highlight w:val="none"/>
          <w:lang w:val="en-US" w:eastAsia="zh-CN"/>
        </w:rPr>
        <w:t>科技安全培训，提升员工信息科技安全意识。切实做好信息科技风险防控工作。</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楷体_GB2312" w:hAnsi="楷体_GB2312" w:eastAsia="楷体_GB2312" w:cs="楷体_GB2312"/>
          <w:b/>
          <w:color w:val="auto"/>
          <w:kern w:val="0"/>
          <w:sz w:val="32"/>
          <w:szCs w:val="32"/>
          <w:highlight w:val="none"/>
          <w:lang w:val="en-US" w:eastAsia="zh-CN"/>
        </w:rPr>
      </w:pPr>
      <w:r>
        <w:rPr>
          <w:rFonts w:hint="eastAsia" w:ascii="楷体" w:hAnsi="楷体" w:eastAsia="楷体" w:cs="楷体"/>
          <w:b/>
          <w:color w:val="auto"/>
          <w:kern w:val="0"/>
          <w:sz w:val="32"/>
          <w:szCs w:val="32"/>
          <w:highlight w:val="none"/>
          <w:lang w:val="en-US" w:eastAsia="zh-CN"/>
        </w:rPr>
        <w:t>（十）安全生产风险情况</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安全生产风险</w:t>
      </w:r>
      <w:r>
        <w:rPr>
          <w:rFonts w:hint="eastAsia" w:ascii="仿宋_GB2312" w:hAnsi="仿宋_GB2312" w:eastAsia="仿宋_GB2312" w:cs="仿宋_GB2312"/>
          <w:color w:val="auto"/>
          <w:kern w:val="0"/>
          <w:sz w:val="32"/>
          <w:szCs w:val="32"/>
          <w:highlight w:val="none"/>
        </w:rPr>
        <w:t>主要是</w:t>
      </w:r>
      <w:r>
        <w:rPr>
          <w:rFonts w:hint="eastAsia" w:ascii="仿宋_GB2312" w:hAnsi="仿宋_GB2312" w:eastAsia="仿宋_GB2312" w:cs="仿宋_GB2312"/>
          <w:color w:val="auto"/>
          <w:kern w:val="0"/>
          <w:sz w:val="32"/>
          <w:szCs w:val="32"/>
          <w:highlight w:val="none"/>
          <w:lang w:eastAsia="zh-CN"/>
        </w:rPr>
        <w:t>经营过程中，因内部管理、硬件设备、外部不可抗因素等，导致出现财产损失和危及人生安全的风险。本行始终把</w:t>
      </w:r>
      <w:r>
        <w:rPr>
          <w:rFonts w:hint="eastAsia" w:ascii="仿宋_GB2312" w:hAnsi="仿宋_GB2312" w:eastAsia="仿宋_GB2312" w:cs="仿宋_GB2312"/>
          <w:color w:val="auto"/>
          <w:sz w:val="32"/>
          <w:szCs w:val="32"/>
          <w:highlight w:val="none"/>
          <w:lang w:val="en-US" w:eastAsia="zh-CN"/>
        </w:rPr>
        <w:t>安全生产摆在重要位置，确保全行安全稳定运行，</w:t>
      </w:r>
      <w:r>
        <w:rPr>
          <w:rFonts w:hint="eastAsia" w:ascii="仿宋_GB2312" w:hAnsi="仿宋_GB2312" w:eastAsia="仿宋_GB2312" w:cs="仿宋_GB2312"/>
          <w:b/>
          <w:bCs/>
          <w:color w:val="auto"/>
          <w:sz w:val="32"/>
          <w:szCs w:val="32"/>
          <w:highlight w:val="none"/>
          <w:lang w:val="en-US" w:eastAsia="zh-CN"/>
        </w:rPr>
        <w:t>一是压实责任链条，</w:t>
      </w:r>
      <w:r>
        <w:rPr>
          <w:rFonts w:hint="eastAsia" w:ascii="仿宋_GB2312" w:hAnsi="仿宋_GB2312" w:eastAsia="仿宋_GB2312" w:cs="仿宋_GB2312"/>
          <w:color w:val="auto"/>
          <w:kern w:val="0"/>
          <w:sz w:val="32"/>
          <w:szCs w:val="32"/>
          <w:highlight w:val="none"/>
          <w:lang w:val="en-US" w:eastAsia="zh-CN"/>
        </w:rPr>
        <w:t>严格落实安全生产责任制，层层签订安全生产责任状，明确各岗位、各条线工作职责；与周边单位及属地公安派出所签订联防联控协议，构建多方协同的安全防控体系。</w:t>
      </w:r>
      <w:r>
        <w:rPr>
          <w:rFonts w:hint="eastAsia" w:ascii="仿宋_GB2312" w:hAnsi="仿宋_GB2312" w:eastAsia="仿宋_GB2312" w:cs="仿宋_GB2312"/>
          <w:b/>
          <w:bCs/>
          <w:color w:val="auto"/>
          <w:sz w:val="32"/>
          <w:szCs w:val="32"/>
          <w:highlight w:val="none"/>
          <w:lang w:val="en-US" w:eastAsia="zh-CN"/>
        </w:rPr>
        <w:t>二是强化应急能力，</w:t>
      </w:r>
      <w:r>
        <w:rPr>
          <w:rFonts w:hint="eastAsia" w:ascii="仿宋_GB2312" w:hAnsi="仿宋_GB2312" w:eastAsia="仿宋_GB2312" w:cs="仿宋_GB2312"/>
          <w:color w:val="auto"/>
          <w:kern w:val="0"/>
          <w:sz w:val="32"/>
          <w:szCs w:val="32"/>
          <w:highlight w:val="none"/>
          <w:lang w:val="en-US" w:eastAsia="zh-CN"/>
        </w:rPr>
        <w:t>常态化开展员工及安保人员业务培训，定期组织防火、防盗、防爆实战演练；持续完善各类应急处置预案，提升突发事件响应与处置效率，夯实安全管理基础。</w:t>
      </w:r>
      <w:r>
        <w:rPr>
          <w:rFonts w:hint="eastAsia" w:ascii="仿宋_GB2312" w:hAnsi="仿宋_GB2312" w:eastAsia="仿宋_GB2312" w:cs="仿宋_GB2312"/>
          <w:b/>
          <w:bCs/>
          <w:color w:val="auto"/>
          <w:sz w:val="32"/>
          <w:szCs w:val="32"/>
          <w:highlight w:val="none"/>
          <w:lang w:val="en-US" w:eastAsia="zh-CN"/>
        </w:rPr>
        <w:t>三是深化隐患治理，</w:t>
      </w:r>
      <w:r>
        <w:rPr>
          <w:rFonts w:hint="eastAsia" w:ascii="仿宋_GB2312" w:hAnsi="仿宋_GB2312" w:eastAsia="仿宋_GB2312" w:cs="仿宋_GB2312"/>
          <w:color w:val="auto"/>
          <w:kern w:val="0"/>
          <w:sz w:val="32"/>
          <w:szCs w:val="32"/>
          <w:highlight w:val="none"/>
          <w:lang w:val="en-US" w:eastAsia="zh-CN"/>
        </w:rPr>
        <w:t>全面排查整治营业网点、自助设备、武装押运、防火防盗、值班值守及重大事项报告等重点领域与关键环节的安全隐患，以“时时放心不下”的责任感和“处处如履薄冰”的警惕感，严防死守、严管严控，以万全之策防范万一之险，确保全行安全稳定运行。</w:t>
      </w:r>
      <w:r>
        <w:rPr>
          <w:rFonts w:hint="eastAsia" w:ascii="仿宋_GB2312" w:hAnsi="仿宋_GB2312" w:eastAsia="仿宋_GB2312" w:cs="仿宋_GB2312"/>
          <w:color w:val="auto"/>
          <w:sz w:val="32"/>
          <w:szCs w:val="32"/>
          <w:highlight w:val="none"/>
          <w:lang w:val="en-US" w:eastAsia="zh-CN"/>
        </w:rPr>
        <w:t>报告期内，本行未发生重大安全生产事故，安全生产形势总体平稳。下一步，本行将持续压实安全责任、深化隐患治理、强化科技赋能、厚植安全文化，不断提升安全生产风险防控水平，为全行稳健运营与高质量发展筑牢安全屏障。</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楷体_GB2312" w:hAnsi="楷体_GB2312" w:eastAsia="楷体_GB2312" w:cs="楷体_GB2312"/>
          <w:b/>
          <w:color w:val="FF0000"/>
          <w:kern w:val="0"/>
          <w:sz w:val="32"/>
          <w:szCs w:val="32"/>
          <w:highlight w:val="none"/>
          <w:lang w:val="en-US" w:eastAsia="zh-CN"/>
        </w:rPr>
      </w:pPr>
      <w:r>
        <w:rPr>
          <w:rFonts w:hint="eastAsia" w:ascii="楷体" w:hAnsi="楷体" w:eastAsia="楷体" w:cs="楷体"/>
          <w:b/>
          <w:color w:val="auto"/>
          <w:kern w:val="0"/>
          <w:sz w:val="32"/>
          <w:szCs w:val="32"/>
          <w:highlight w:val="none"/>
          <w:lang w:val="en-US" w:eastAsia="zh-CN"/>
        </w:rPr>
        <w:t>（十一）</w:t>
      </w:r>
      <w:r>
        <w:rPr>
          <w:rFonts w:hint="eastAsia" w:ascii="楷体_GB2312" w:hAnsi="楷体_GB2312" w:eastAsia="楷体_GB2312" w:cs="楷体_GB2312"/>
          <w:b/>
          <w:color w:val="auto"/>
          <w:kern w:val="0"/>
          <w:sz w:val="32"/>
          <w:szCs w:val="32"/>
          <w:highlight w:val="none"/>
          <w:lang w:val="en-US" w:eastAsia="zh-CN"/>
        </w:rPr>
        <w:t>声誉风险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声誉风险主要是指由我行经营、管理及其他行为或外部事件，导致利益相关方对我行产生负面评价的风险。本行坚决贯彻落实省行、辖区党组和监管部门关于加强声誉风险管理的有关精神，坚持预防为主、源头治理，完善组织体系，健全工作机制，持续营造良好的声誉环境，保障各项业务和工作平稳健康运行。</w:t>
      </w:r>
      <w:r>
        <w:rPr>
          <w:rFonts w:hint="eastAsia" w:ascii="仿宋_GB2312" w:hAnsi="仿宋_GB2312" w:eastAsia="仿宋_GB2312" w:cs="仿宋_GB2312"/>
          <w:b/>
          <w:bCs/>
          <w:color w:val="auto"/>
          <w:sz w:val="32"/>
          <w:szCs w:val="32"/>
          <w:highlight w:val="none"/>
          <w:lang w:eastAsia="zh-CN"/>
        </w:rPr>
        <w:t>一是加强组织领导。</w:t>
      </w:r>
      <w:r>
        <w:rPr>
          <w:rFonts w:hint="eastAsia" w:ascii="仿宋_GB2312" w:hAnsi="仿宋_GB2312" w:eastAsia="仿宋_GB2312" w:cs="仿宋_GB2312"/>
          <w:color w:val="auto"/>
          <w:sz w:val="32"/>
          <w:szCs w:val="32"/>
          <w:highlight w:val="none"/>
          <w:lang w:eastAsia="zh-CN"/>
        </w:rPr>
        <w:t>我行成立以董事长为组长、其他班子成员为副组长、各支行行长和各部门负责人为成员的声誉风险防范工作领导小组。领导小组下设办公室在总行办公室，各支行、各部门相应成立工作小组，指定专人负责声誉风险工作，切实承担本单位声誉风险管理的主体责任。</w:t>
      </w:r>
      <w:r>
        <w:rPr>
          <w:rFonts w:hint="eastAsia" w:ascii="仿宋_GB2312" w:hAnsi="仿宋_GB2312" w:eastAsia="仿宋_GB2312" w:cs="仿宋_GB2312"/>
          <w:b/>
          <w:bCs/>
          <w:color w:val="auto"/>
          <w:sz w:val="32"/>
          <w:szCs w:val="32"/>
          <w:highlight w:val="none"/>
          <w:lang w:eastAsia="zh-CN"/>
        </w:rPr>
        <w:t>二是严格日常管理。</w:t>
      </w:r>
      <w:r>
        <w:rPr>
          <w:rFonts w:hint="eastAsia" w:ascii="仿宋_GB2312" w:hAnsi="仿宋_GB2312" w:eastAsia="仿宋_GB2312" w:cs="仿宋_GB2312"/>
          <w:b w:val="0"/>
          <w:bCs w:val="0"/>
          <w:color w:val="auto"/>
          <w:sz w:val="32"/>
          <w:szCs w:val="32"/>
          <w:highlight w:val="none"/>
          <w:lang w:eastAsia="zh-CN"/>
        </w:rPr>
        <w:t>认</w:t>
      </w:r>
      <w:r>
        <w:rPr>
          <w:rFonts w:hint="eastAsia" w:ascii="仿宋_GB2312" w:hAnsi="仿宋_GB2312" w:eastAsia="仿宋_GB2312" w:cs="仿宋_GB2312"/>
          <w:color w:val="auto"/>
          <w:sz w:val="32"/>
          <w:szCs w:val="32"/>
          <w:highlight w:val="none"/>
          <w:lang w:eastAsia="zh-CN"/>
        </w:rPr>
        <w:t>真落实《寻乌农商银行声誉风险管理办法》，设立专人专岗负责声誉风险日常管理，并将声誉风险管理工作纳入评先评优和干部员工绩效考核体系。严格执行“三审三校”信息发布制度，确保对外信息发布准确、合规。落实负面舆情监测报告制度，安排专人24小时登录舆情监测系统，确保监测无死角、全覆盖。三</w:t>
      </w:r>
      <w:r>
        <w:rPr>
          <w:rFonts w:hint="eastAsia" w:ascii="仿宋_GB2312" w:hAnsi="仿宋_GB2312" w:eastAsia="仿宋_GB2312" w:cs="仿宋_GB2312"/>
          <w:b/>
          <w:bCs/>
          <w:color w:val="auto"/>
          <w:sz w:val="32"/>
          <w:szCs w:val="32"/>
          <w:highlight w:val="none"/>
          <w:lang w:eastAsia="zh-CN"/>
        </w:rPr>
        <w:t>是强化员工管理。</w:t>
      </w:r>
      <w:r>
        <w:rPr>
          <w:rFonts w:hint="eastAsia" w:ascii="仿宋_GB2312" w:hAnsi="仿宋_GB2312" w:eastAsia="仿宋_GB2312" w:cs="仿宋_GB2312"/>
          <w:color w:val="auto"/>
          <w:sz w:val="32"/>
          <w:szCs w:val="32"/>
          <w:highlight w:val="none"/>
          <w:lang w:eastAsia="zh-CN"/>
        </w:rPr>
        <w:t>常态化开展员工谈心谈话和家访，加强对员工八小时内外行为关注，及时了解员工在微信、朋友圈、抖音等新媒体平台的言论动态，关心关爱员工，帮助缓解工作压力，防范因员工异常行为引发负面舆情。</w:t>
      </w:r>
      <w:r>
        <w:rPr>
          <w:rFonts w:hint="eastAsia" w:ascii="仿宋_GB2312" w:hAnsi="仿宋_GB2312" w:eastAsia="仿宋_GB2312" w:cs="仿宋_GB2312"/>
          <w:b/>
          <w:bCs/>
          <w:color w:val="auto"/>
          <w:sz w:val="32"/>
          <w:szCs w:val="32"/>
          <w:highlight w:val="none"/>
          <w:lang w:eastAsia="zh-CN"/>
        </w:rPr>
        <w:t>四是加强阵地宣传。</w:t>
      </w:r>
      <w:r>
        <w:rPr>
          <w:rFonts w:hint="eastAsia" w:ascii="仿宋_GB2312" w:hAnsi="仿宋_GB2312" w:eastAsia="仿宋_GB2312" w:cs="仿宋_GB2312"/>
          <w:color w:val="auto"/>
          <w:sz w:val="32"/>
          <w:szCs w:val="32"/>
          <w:highlight w:val="none"/>
          <w:lang w:eastAsia="zh-CN"/>
        </w:rPr>
        <w:t>严格执行对外信息发布审核制度，加大在权威媒体投稿力度，积极宣传我行在服务地方经济建设、支持民营小微企业、助力乡村全面振兴、践行普惠金融、普及金融知识等方面的成效，不断提升社会知名度和美誉度。</w:t>
      </w:r>
      <w:r>
        <w:rPr>
          <w:rFonts w:hint="eastAsia" w:ascii="仿宋_GB2312" w:hAnsi="仿宋_GB2312" w:eastAsia="仿宋_GB2312" w:cs="仿宋_GB2312"/>
          <w:b/>
          <w:bCs/>
          <w:color w:val="auto"/>
          <w:sz w:val="32"/>
          <w:szCs w:val="32"/>
          <w:highlight w:val="none"/>
          <w:lang w:eastAsia="zh-CN"/>
        </w:rPr>
        <w:t>五是参与公益事业。</w:t>
      </w:r>
      <w:r>
        <w:rPr>
          <w:rFonts w:hint="eastAsia" w:ascii="仿宋_GB2312" w:hAnsi="仿宋_GB2312" w:eastAsia="仿宋_GB2312" w:cs="仿宋_GB2312"/>
          <w:color w:val="auto"/>
          <w:sz w:val="32"/>
          <w:szCs w:val="32"/>
          <w:highlight w:val="none"/>
          <w:lang w:eastAsia="zh-CN"/>
        </w:rPr>
        <w:t>积极投身社会公益事业，参与保文创卫、捐资助学、关爱弱势群体等活动，融入社区治理和营商环境改善，着力塑造有情怀、有温度、有担当的企业形象。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0"/>
          <w:sz w:val="32"/>
          <w:szCs w:val="32"/>
          <w:highlight w:val="none"/>
          <w:lang w:val="en-US" w:eastAsia="zh-CN"/>
        </w:rPr>
      </w:pPr>
      <w:r>
        <w:rPr>
          <w:rFonts w:hint="eastAsia" w:ascii="楷体" w:hAnsi="楷体" w:eastAsia="楷体" w:cs="楷体"/>
          <w:b/>
          <w:color w:val="auto"/>
          <w:kern w:val="0"/>
          <w:sz w:val="32"/>
          <w:szCs w:val="32"/>
          <w:highlight w:val="none"/>
          <w:lang w:val="en-US" w:eastAsia="zh-CN"/>
        </w:rPr>
        <w:t>（十二）</w:t>
      </w:r>
      <w:r>
        <w:rPr>
          <w:rFonts w:hint="eastAsia" w:ascii="仿宋_GB2312" w:hAnsi="仿宋_GB2312" w:eastAsia="仿宋_GB2312" w:cs="仿宋_GB2312"/>
          <w:b/>
          <w:bCs/>
          <w:color w:val="auto"/>
          <w:kern w:val="0"/>
          <w:sz w:val="32"/>
          <w:szCs w:val="32"/>
          <w:highlight w:val="none"/>
          <w:lang w:val="en-US" w:eastAsia="zh-CN"/>
        </w:rPr>
        <w:t>内部控制制度的完整性、合理性和有效性</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kern w:val="0"/>
          <w:sz w:val="32"/>
          <w:szCs w:val="32"/>
          <w:highlight w:val="none"/>
        </w:rPr>
        <w:t>本行参照《中华人民共和国民法典》《中华人民共和国商业银行法》《商业银行内部控制指引》等相关法律、规章及规范性文件要求，从控制环境、风险识别、内控措施、信息反馈、监督评价等方面，对本行的制度进行梳理、完善。经梳理评价，本行内控制度均符合法律法规、行政规章和监管要求，能够覆盖各业务条线，能有效控制业务风险，各项制度在日常经营活动中得到贯彻执行，并由相关职能部门落实监督检查，本年度并未发生风险案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0"/>
          <w:sz w:val="32"/>
          <w:szCs w:val="32"/>
          <w:highlight w:val="none"/>
          <w:lang w:val="en-US" w:eastAsia="zh-CN"/>
        </w:rPr>
      </w:pPr>
      <w:r>
        <w:rPr>
          <w:rFonts w:hint="eastAsia" w:ascii="楷体" w:hAnsi="楷体" w:eastAsia="楷体" w:cs="楷体"/>
          <w:b/>
          <w:color w:val="auto"/>
          <w:kern w:val="0"/>
          <w:sz w:val="32"/>
          <w:szCs w:val="32"/>
          <w:highlight w:val="none"/>
          <w:lang w:val="en-US" w:eastAsia="zh-CN"/>
        </w:rPr>
        <w:t>（十三）</w:t>
      </w:r>
      <w:r>
        <w:rPr>
          <w:rFonts w:hint="eastAsia" w:ascii="仿宋_GB2312" w:hAnsi="仿宋_GB2312" w:eastAsia="仿宋_GB2312" w:cs="仿宋_GB2312"/>
          <w:b/>
          <w:bCs/>
          <w:color w:val="auto"/>
          <w:kern w:val="0"/>
          <w:sz w:val="32"/>
          <w:szCs w:val="32"/>
          <w:highlight w:val="none"/>
          <w:lang w:val="en-US" w:eastAsia="zh-CN"/>
        </w:rPr>
        <w:t>金融消费者权益状况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本行在业务经营、内部控制与合规管理中充分考虑金融消费者投诉反映的问题和需求，并在各营业网点、网络公众平台等公布监管部门和本行投诉受理电话及受理流程，使投诉渠道无障碍、畅通直达，保护金融消费者的合法权益，及时妥善地解决消费者投诉事项，切实维护金融消费权益。同时，积极开展金融知识宣传活动，提高广大群众金融素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2025年度，本行共受理处置各类投诉61笔，已办结61件，办结率100%，以上投诉均进行及时妥善处置，对客户合理诉求，第一时间给予解决，确实无法解决的，进行耐心细致解释，得到客户认可。主要涉及账户使用异常类11件；短信提醒类2件；柜面服务及操作类6件；信贷业务类29件；信用卡类6件；社保卡业务类2件；交易查询类2件；其他类投诉3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zh-CN" w:eastAsia="zh-CN"/>
        </w:rPr>
      </w:pPr>
      <w:r>
        <w:rPr>
          <w:rFonts w:hint="eastAsia" w:ascii="仿宋_GB2312" w:hAnsi="仿宋_GB2312" w:eastAsia="仿宋_GB2312" w:cs="仿宋_GB2312"/>
          <w:color w:val="auto"/>
          <w:kern w:val="0"/>
          <w:sz w:val="32"/>
          <w:szCs w:val="32"/>
          <w:highlight w:val="none"/>
          <w:lang w:eastAsia="zh-CN"/>
        </w:rPr>
        <w:t>2025年本行未出现与消费者保护相关的重大突发事件和重大负面舆情，未发生违反法律法规、虚假宣传、误导或欺骗消费者而引发大规模投诉或群体性事件，亦未发生个人金融信息泄漏和造成严重社会影响的事件,未发生新业务产品投诉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0"/>
          <w:sz w:val="32"/>
          <w:szCs w:val="32"/>
          <w:highlight w:val="none"/>
          <w:lang w:eastAsia="zh-CN"/>
        </w:rPr>
      </w:pPr>
      <w:r>
        <w:rPr>
          <w:rFonts w:hint="eastAsia" w:ascii="楷体" w:hAnsi="楷体" w:eastAsia="楷体" w:cs="楷体"/>
          <w:b/>
          <w:color w:val="auto"/>
          <w:kern w:val="0"/>
          <w:sz w:val="32"/>
          <w:szCs w:val="32"/>
          <w:highlight w:val="none"/>
          <w:lang w:val="en-US" w:eastAsia="zh-CN"/>
        </w:rPr>
        <w:t>（十四）</w:t>
      </w:r>
      <w:r>
        <w:rPr>
          <w:rFonts w:hint="eastAsia" w:ascii="仿宋_GB2312" w:hAnsi="仿宋_GB2312" w:eastAsia="仿宋_GB2312" w:cs="仿宋_GB2312"/>
          <w:b/>
          <w:bCs/>
          <w:color w:val="auto"/>
          <w:kern w:val="0"/>
          <w:sz w:val="32"/>
          <w:szCs w:val="32"/>
          <w:highlight w:val="none"/>
        </w:rPr>
        <w:t>其他风险状况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green"/>
        </w:rPr>
      </w:pPr>
      <w:r>
        <w:rPr>
          <w:rFonts w:hint="eastAsia" w:ascii="仿宋_GB2312" w:hAnsi="仿宋_GB2312" w:eastAsia="仿宋_GB2312" w:cs="仿宋_GB2312"/>
          <w:color w:val="auto"/>
          <w:kern w:val="0"/>
          <w:sz w:val="32"/>
          <w:szCs w:val="32"/>
          <w:highlight w:val="none"/>
        </w:rPr>
        <w:t>截止202</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年末，本行未发现内部控制制度在完整性、合理性和有效性等方面存在</w:t>
      </w:r>
      <w:bookmarkStart w:id="0" w:name="_GoBack"/>
      <w:bookmarkEnd w:id="0"/>
      <w:r>
        <w:rPr>
          <w:rFonts w:hint="eastAsia" w:ascii="仿宋_GB2312" w:hAnsi="仿宋_GB2312" w:eastAsia="仿宋_GB2312" w:cs="仿宋_GB2312"/>
          <w:color w:val="auto"/>
          <w:kern w:val="0"/>
          <w:sz w:val="32"/>
          <w:szCs w:val="32"/>
          <w:highlight w:val="none"/>
        </w:rPr>
        <w:t>重大缺陷及其他风险。</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四、公司治理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eastAsia="zh-CN"/>
        </w:rPr>
      </w:pPr>
      <w:r>
        <w:rPr>
          <w:rFonts w:hint="eastAsia" w:ascii="楷体_GB2312" w:hAnsi="楷体_GB2312" w:eastAsia="楷体_GB2312" w:cs="楷体_GB2312"/>
          <w:b/>
          <w:bCs/>
          <w:color w:val="auto"/>
          <w:kern w:val="0"/>
          <w:sz w:val="32"/>
          <w:szCs w:val="32"/>
          <w:highlight w:val="none"/>
          <w:lang w:eastAsia="zh-CN"/>
        </w:rPr>
        <w:t>（一）董事会的构成及其工作情况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1.董事会的构成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本行</w:t>
      </w:r>
      <w:r>
        <w:rPr>
          <w:rFonts w:hint="eastAsia" w:ascii="仿宋_GB2312" w:hAnsi="仿宋_GB2312" w:eastAsia="仿宋_GB2312" w:cs="仿宋_GB2312"/>
          <w:color w:val="auto"/>
          <w:sz w:val="32"/>
          <w:szCs w:val="32"/>
          <w:highlight w:val="none"/>
        </w:rPr>
        <w:t>董事会由</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名董事组成，其中独立董事</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董事会下设战略、提名与薪酬、三农、信息科技、风险管理、关联交易、消费者权益保护、审计、普惠金融等专门委员会。全体董事恪尽职守，积极参与本公司重大问题的研究和决策，注重维护本公司和全体股东的利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2.董事会会议召开情况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2025年度，本行</w:t>
      </w:r>
      <w:r>
        <w:rPr>
          <w:rFonts w:hint="eastAsia" w:ascii="仿宋_GB2312" w:hAnsi="仿宋_GB2312" w:eastAsia="仿宋_GB2312" w:cs="仿宋_GB2312"/>
          <w:color w:val="auto"/>
          <w:sz w:val="32"/>
          <w:szCs w:val="32"/>
          <w:highlight w:val="none"/>
        </w:rPr>
        <w:t>召开董事会</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次，</w:t>
      </w:r>
      <w:r>
        <w:rPr>
          <w:rFonts w:hint="eastAsia" w:ascii="仿宋_GB2312" w:hAnsi="仿宋_GB2312" w:eastAsia="仿宋_GB2312" w:cs="仿宋_GB2312"/>
          <w:color w:val="auto"/>
          <w:sz w:val="32"/>
          <w:szCs w:val="32"/>
          <w:highlight w:val="none"/>
          <w:lang w:val="en-US" w:eastAsia="zh-CN"/>
        </w:rPr>
        <w:t>共审议《寻乌农商银行2024年度关联交易管理报告（草案）》《寻乌农商银行2024年度金融资产风险分类管理情况报告（草案）》等议案113项。</w:t>
      </w:r>
      <w:r>
        <w:rPr>
          <w:rFonts w:hint="eastAsia" w:ascii="仿宋_GB2312" w:hAnsi="仿宋_GB2312" w:eastAsia="仿宋_GB2312" w:cs="仿宋_GB2312"/>
          <w:color w:val="auto"/>
          <w:sz w:val="32"/>
          <w:szCs w:val="32"/>
          <w:highlight w:val="none"/>
        </w:rPr>
        <w:t>每次董事会均有监事会成员列席，董事会下设的专门委员会均按要求召开会议，并研究落实相关工作，董事会能够按照章程</w:t>
      </w:r>
      <w:r>
        <w:rPr>
          <w:rFonts w:hint="eastAsia" w:ascii="仿宋_GB2312" w:hAnsi="仿宋_GB2312" w:eastAsia="仿宋_GB2312" w:cs="仿宋_GB2312"/>
          <w:color w:val="auto"/>
          <w:sz w:val="32"/>
          <w:szCs w:val="32"/>
          <w:highlight w:val="none"/>
          <w:lang w:eastAsia="zh-CN"/>
        </w:rPr>
        <w:t>和议事规则</w:t>
      </w:r>
      <w:r>
        <w:rPr>
          <w:rFonts w:hint="eastAsia" w:ascii="仿宋_GB2312" w:hAnsi="仿宋_GB2312" w:eastAsia="仿宋_GB2312" w:cs="仿宋_GB2312"/>
          <w:color w:val="auto"/>
          <w:sz w:val="32"/>
          <w:szCs w:val="32"/>
          <w:highlight w:val="none"/>
        </w:rPr>
        <w:t>规定，勤勉履职，认真执行股东大会决议。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color w:val="auto"/>
          <w:kern w:val="0"/>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3.独立董事履职情况</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报告期末，本行独立董事</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名。报告期内，独立董事能够按照法律、法规和本行章程的要求，忠实履行职责,参加股东会、董事会及专门委员会会议，维护本行和全体股东的权益。工作期间，独立董事能够独立履行职责，不受本行主要股东、实际控制人或者其他与本行存在利害关系的单位或个人的影响，发表独立意见，有效履行职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rPr>
      </w:pPr>
      <w:r>
        <w:rPr>
          <w:rFonts w:hint="eastAsia" w:ascii="楷体_GB2312" w:hAnsi="楷体_GB2312" w:eastAsia="楷体_GB2312" w:cs="楷体_GB2312"/>
          <w:b/>
          <w:bCs/>
          <w:color w:val="auto"/>
          <w:kern w:val="0"/>
          <w:sz w:val="32"/>
          <w:szCs w:val="32"/>
          <w:highlight w:val="none"/>
          <w:lang w:eastAsia="zh-CN"/>
        </w:rPr>
        <w:t>（二）监事会的构成及其工作情况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1.监事会的构成</w:t>
      </w:r>
    </w:p>
    <w:p>
      <w:pPr>
        <w:keepNext w:val="0"/>
        <w:keepLines w:val="0"/>
        <w:pageBreakBefore w:val="0"/>
        <w:kinsoku/>
        <w:overflowPunct/>
        <w:topLinePunct w:val="0"/>
        <w:bidi w:val="0"/>
        <w:spacing w:line="560" w:lineRule="exact"/>
        <w:ind w:left="0" w:leftChars="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监事会由5名监事组成，其中</w:t>
      </w:r>
      <w:r>
        <w:rPr>
          <w:rFonts w:hint="eastAsia" w:ascii="仿宋_GB2312" w:hAnsi="仿宋_GB2312" w:eastAsia="仿宋_GB2312" w:cs="仿宋_GB2312"/>
          <w:color w:val="auto"/>
          <w:sz w:val="32"/>
          <w:szCs w:val="32"/>
          <w:highlight w:val="none"/>
          <w:lang w:eastAsia="zh-CN"/>
        </w:rPr>
        <w:t>职</w:t>
      </w:r>
      <w:r>
        <w:rPr>
          <w:rFonts w:hint="eastAsia" w:ascii="仿宋_GB2312" w:hAnsi="仿宋_GB2312" w:eastAsia="仿宋_GB2312" w:cs="仿宋_GB2312"/>
          <w:color w:val="auto"/>
          <w:sz w:val="32"/>
          <w:szCs w:val="32"/>
          <w:highlight w:val="none"/>
        </w:rPr>
        <w:t>工监事</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val="en-US" w:eastAsia="zh-CN"/>
        </w:rPr>
        <w:t>外部监事2人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监事会</w:t>
      </w:r>
      <w:r>
        <w:rPr>
          <w:rFonts w:hint="eastAsia" w:ascii="仿宋_GB2312" w:hAnsi="仿宋_GB2312" w:eastAsia="仿宋_GB2312" w:cs="仿宋_GB2312"/>
          <w:color w:val="auto"/>
          <w:sz w:val="32"/>
          <w:szCs w:val="32"/>
          <w:highlight w:val="none"/>
          <w:lang w:val="en-US" w:eastAsia="zh-CN"/>
        </w:rPr>
        <w:t>履行内部监督职责，对经营管理进行监督</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2.监事会会议召开情况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2025年度共召开监事会7次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共</w:t>
      </w:r>
      <w:r>
        <w:rPr>
          <w:rFonts w:hint="eastAsia" w:ascii="仿宋_GB2312" w:hAnsi="仿宋_GB2312" w:eastAsia="仿宋_GB2312" w:cs="仿宋_GB2312"/>
          <w:color w:val="auto"/>
          <w:sz w:val="32"/>
          <w:szCs w:val="32"/>
          <w:highlight w:val="none"/>
        </w:rPr>
        <w:t>审议《寻乌农商银行2025-2027年资本管理规划》等议案56项。监事会下设专门委员会均按要求召开会议。监事会本着对股东高度负责的态度，按照商业银行的管理标准，对董事会和高级管理层及其成员的履职尽责情况、财务活动、内部控制、风险管理等进行监督，维护股东的合法权益和存款人利益。</w:t>
      </w:r>
    </w:p>
    <w:p>
      <w:pPr>
        <w:keepNext w:val="0"/>
        <w:keepLines w:val="0"/>
        <w:pageBreakBefore w:val="0"/>
        <w:kinsoku/>
        <w:wordWrap/>
        <w:overflowPunct/>
        <w:topLinePunct w:val="0"/>
        <w:bidi w:val="0"/>
        <w:spacing w:line="560" w:lineRule="exact"/>
        <w:ind w:left="0" w:leftChars="0" w:right="0" w:rightChars="0" w:firstLine="643" w:firstLineChars="200"/>
        <w:textAlignment w:val="auto"/>
        <w:outlineLvl w:val="9"/>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3.监事会对董事、监事的履职综合评价结果</w:t>
      </w:r>
    </w:p>
    <w:p>
      <w:pPr>
        <w:keepNext w:val="0"/>
        <w:keepLines w:val="0"/>
        <w:pageBreakBefore w:val="0"/>
        <w:numPr>
          <w:ilvl w:val="0"/>
          <w:numId w:val="0"/>
        </w:numPr>
        <w:kinsoku/>
        <w:wordWrap/>
        <w:overflowPunct/>
        <w:topLinePunct w:val="0"/>
        <w:autoSpaceDE w:val="0"/>
        <w:autoSpaceDN w:val="0"/>
        <w:bidi w:val="0"/>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2026年3月31日召开监事会，组织监事对董事、监事、高级管理层及成员履职情况进行综合评价，经统计，董事、监事、高级管理层及成员</w:t>
      </w:r>
      <w:r>
        <w:rPr>
          <w:rFonts w:hint="eastAsia" w:ascii="仿宋_GB2312" w:hAnsi="仿宋_GB2312" w:eastAsia="仿宋_GB2312" w:cs="仿宋_GB2312"/>
          <w:color w:val="000000"/>
          <w:sz w:val="32"/>
          <w:szCs w:val="32"/>
          <w:highlight w:val="none"/>
          <w:lang w:val="en-US" w:eastAsia="zh-CN"/>
        </w:rPr>
        <w:t>2025年度</w:t>
      </w:r>
      <w:r>
        <w:rPr>
          <w:rFonts w:hint="eastAsia" w:ascii="仿宋_GB2312" w:hAnsi="仿宋_GB2312" w:eastAsia="仿宋_GB2312" w:cs="仿宋_GB2312"/>
          <w:color w:val="000000"/>
          <w:sz w:val="32"/>
          <w:szCs w:val="32"/>
          <w:highlight w:val="none"/>
          <w:lang w:eastAsia="zh-CN"/>
        </w:rPr>
        <w:t>履职情况均为“称职”。</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4.外部监事履职情况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b/>
          <w:bCs/>
          <w:color w:val="auto"/>
          <w:kern w:val="0"/>
          <w:sz w:val="32"/>
          <w:szCs w:val="32"/>
          <w:highlight w:val="none"/>
          <w:lang w:eastAsia="zh-CN"/>
        </w:rPr>
      </w:pPr>
      <w:r>
        <w:rPr>
          <w:rFonts w:hint="eastAsia" w:ascii="仿宋_GB2312" w:hAnsi="仿宋_GB2312" w:eastAsia="仿宋_GB2312" w:cs="仿宋_GB2312"/>
          <w:color w:val="auto"/>
          <w:sz w:val="32"/>
          <w:szCs w:val="32"/>
          <w:highlight w:val="none"/>
        </w:rPr>
        <w:t>报告期内，</w:t>
      </w:r>
      <w:r>
        <w:rPr>
          <w:rFonts w:hint="eastAsia" w:ascii="仿宋_GB2312" w:hAnsi="仿宋_GB2312" w:eastAsia="仿宋_GB2312" w:cs="仿宋_GB2312"/>
          <w:color w:val="auto"/>
          <w:sz w:val="32"/>
          <w:szCs w:val="32"/>
          <w:highlight w:val="none"/>
          <w:lang w:eastAsia="zh-CN"/>
        </w:rPr>
        <w:t>外部监事</w:t>
      </w:r>
      <w:r>
        <w:rPr>
          <w:rFonts w:hint="eastAsia" w:ascii="仿宋_GB2312" w:hAnsi="仿宋_GB2312" w:eastAsia="仿宋_GB2312" w:cs="仿宋_GB2312"/>
          <w:color w:val="auto"/>
          <w:sz w:val="32"/>
          <w:szCs w:val="32"/>
          <w:highlight w:val="none"/>
        </w:rPr>
        <w:t>能够按照法律、法规和本行章程的要求，</w:t>
      </w:r>
      <w:r>
        <w:rPr>
          <w:rFonts w:hint="eastAsia" w:ascii="仿宋_GB2312" w:hAnsi="仿宋_GB2312" w:eastAsia="仿宋_GB2312" w:cs="仿宋_GB2312"/>
          <w:bCs/>
          <w:sz w:val="32"/>
          <w:szCs w:val="32"/>
          <w:highlight w:val="none"/>
        </w:rPr>
        <w:t>能认真、勤勉履行公司章程赋予的监督职责，</w:t>
      </w:r>
      <w:r>
        <w:rPr>
          <w:rFonts w:hint="eastAsia" w:ascii="仿宋_GB2312" w:hAnsi="仿宋_GB2312" w:eastAsia="仿宋_GB2312" w:cs="仿宋_GB2312"/>
          <w:color w:val="auto"/>
          <w:sz w:val="32"/>
          <w:szCs w:val="32"/>
          <w:highlight w:val="none"/>
        </w:rPr>
        <w:t>参加股东会、专门委员会会议</w:t>
      </w:r>
      <w:r>
        <w:rPr>
          <w:rFonts w:hint="eastAsia" w:ascii="仿宋_GB2312" w:hAnsi="仿宋_GB2312" w:eastAsia="仿宋_GB2312" w:cs="仿宋_GB2312"/>
          <w:color w:val="auto"/>
          <w:sz w:val="32"/>
          <w:szCs w:val="32"/>
          <w:highlight w:val="none"/>
          <w:lang w:eastAsia="zh-CN"/>
        </w:rPr>
        <w:t>以及列席董事会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sz w:val="32"/>
          <w:szCs w:val="32"/>
          <w:highlight w:val="none"/>
        </w:rPr>
        <w:t>对职责范围内的事项做出独立、专业、客观的判断。</w:t>
      </w:r>
      <w:r>
        <w:rPr>
          <w:rFonts w:hint="eastAsia" w:ascii="仿宋_GB2312" w:hAnsi="仿宋_GB2312" w:eastAsia="仿宋_GB2312" w:cs="仿宋_GB2312"/>
          <w:color w:val="auto"/>
          <w:sz w:val="32"/>
          <w:szCs w:val="32"/>
          <w:highlight w:val="none"/>
        </w:rPr>
        <w:t>工作期间，</w:t>
      </w:r>
      <w:r>
        <w:rPr>
          <w:rFonts w:hint="eastAsia" w:ascii="仿宋_GB2312" w:hAnsi="仿宋_GB2312" w:eastAsia="仿宋_GB2312" w:cs="仿宋_GB2312"/>
          <w:color w:val="auto"/>
          <w:sz w:val="32"/>
          <w:szCs w:val="32"/>
          <w:highlight w:val="none"/>
          <w:lang w:eastAsia="zh-CN"/>
        </w:rPr>
        <w:t>外部监事</w:t>
      </w:r>
      <w:r>
        <w:rPr>
          <w:rFonts w:hint="eastAsia" w:ascii="仿宋_GB2312" w:hAnsi="仿宋_GB2312" w:eastAsia="仿宋_GB2312" w:cs="仿宋_GB2312"/>
          <w:color w:val="auto"/>
          <w:sz w:val="32"/>
          <w:szCs w:val="32"/>
          <w:highlight w:val="none"/>
        </w:rPr>
        <w:t>能够独立履行职责，</w:t>
      </w:r>
      <w:r>
        <w:rPr>
          <w:rFonts w:hint="eastAsia" w:ascii="仿宋_GB2312" w:hAnsi="仿宋_GB2312" w:eastAsia="仿宋_GB2312" w:cs="仿宋_GB2312"/>
          <w:color w:val="auto"/>
          <w:sz w:val="32"/>
          <w:szCs w:val="32"/>
          <w:highlight w:val="none"/>
          <w:lang w:eastAsia="zh-CN"/>
        </w:rPr>
        <w:t>守法合规、履职尽责，外部监事能够按要求出席会议，</w:t>
      </w:r>
      <w:r>
        <w:rPr>
          <w:rFonts w:hint="eastAsia" w:ascii="仿宋_GB2312" w:hAnsi="仿宋_GB2312" w:eastAsia="仿宋_GB2312" w:cs="仿宋_GB2312"/>
          <w:color w:val="auto"/>
          <w:sz w:val="32"/>
          <w:szCs w:val="32"/>
          <w:highlight w:val="none"/>
        </w:rPr>
        <w:t>不受本行主要股东、实际控制人或者其他与本行存在利害关系的单位或个人的影响，发表独立意见，有效履行职责。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eastAsia="zh-CN"/>
        </w:rPr>
      </w:pPr>
      <w:r>
        <w:rPr>
          <w:rFonts w:hint="eastAsia" w:ascii="楷体_GB2312" w:hAnsi="楷体_GB2312" w:eastAsia="楷体_GB2312" w:cs="楷体_GB2312"/>
          <w:b/>
          <w:bCs/>
          <w:color w:val="auto"/>
          <w:kern w:val="0"/>
          <w:sz w:val="32"/>
          <w:szCs w:val="32"/>
          <w:highlight w:val="none"/>
          <w:lang w:eastAsia="zh-CN"/>
        </w:rPr>
        <w:t>（三）高级管理层成员构成及其基本情况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本行高级管理层由行长、副行长及监管部门认定的其他高级管理人员组成。高级管理层严格执行股东会、董事会决议，认真执行年度预算，圆满完成年度经营目标。</w:t>
      </w:r>
    </w:p>
    <w:p>
      <w:pPr>
        <w:pStyle w:val="2"/>
        <w:rPr>
          <w:rFonts w:hint="eastAsia"/>
          <w:highlight w:val="none"/>
        </w:rPr>
      </w:pPr>
    </w:p>
    <w:tbl>
      <w:tblPr>
        <w:tblStyle w:val="14"/>
        <w:tblW w:w="9016" w:type="dxa"/>
        <w:jc w:val="center"/>
        <w:tblInd w:w="0" w:type="dxa"/>
        <w:tblLayout w:type="fixed"/>
        <w:tblCellMar>
          <w:top w:w="0" w:type="dxa"/>
          <w:left w:w="108" w:type="dxa"/>
          <w:bottom w:w="0" w:type="dxa"/>
          <w:right w:w="108" w:type="dxa"/>
        </w:tblCellMar>
      </w:tblPr>
      <w:tblGrid>
        <w:gridCol w:w="910"/>
        <w:gridCol w:w="1233"/>
        <w:gridCol w:w="983"/>
        <w:gridCol w:w="1917"/>
        <w:gridCol w:w="3973"/>
      </w:tblGrid>
      <w:tr>
        <w:tblPrEx>
          <w:tblLayout w:type="fixed"/>
          <w:tblCellMar>
            <w:top w:w="0" w:type="dxa"/>
            <w:left w:w="108" w:type="dxa"/>
            <w:bottom w:w="0" w:type="dxa"/>
            <w:right w:w="108" w:type="dxa"/>
          </w:tblCellMar>
        </w:tblPrEx>
        <w:trPr>
          <w:trHeight w:val="597"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spacing w:line="560" w:lineRule="exact"/>
              <w:ind w:right="0"/>
              <w:jc w:val="center"/>
              <w:rPr>
                <w:rFonts w:hint="eastAsia" w:ascii="仿宋_GB2312" w:hAnsi="仿宋_GB2312" w:eastAsia="仿宋_GB2312" w:cs="仿宋_GB2312"/>
                <w:b/>
                <w:bCs/>
                <w:color w:val="auto"/>
                <w:kern w:val="0"/>
                <w:sz w:val="32"/>
                <w:szCs w:val="32"/>
                <w:highlight w:val="none"/>
                <w:lang w:eastAsia="zh-CN"/>
              </w:rPr>
            </w:pPr>
            <w:r>
              <w:rPr>
                <w:rFonts w:hint="eastAsia" w:ascii="仿宋_GB2312" w:hAnsi="仿宋_GB2312" w:eastAsia="仿宋_GB2312" w:cs="仿宋_GB2312"/>
                <w:b/>
                <w:bCs/>
                <w:color w:val="auto"/>
                <w:kern w:val="0"/>
                <w:sz w:val="32"/>
                <w:szCs w:val="32"/>
                <w:highlight w:val="none"/>
                <w:lang w:eastAsia="zh-CN"/>
              </w:rPr>
              <w:t>序号</w:t>
            </w:r>
          </w:p>
        </w:tc>
        <w:tc>
          <w:tcPr>
            <w:tcW w:w="12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bidi w:val="0"/>
              <w:spacing w:line="560" w:lineRule="exact"/>
              <w:ind w:right="0"/>
              <w:jc w:val="both"/>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姓</w:t>
            </w:r>
            <w:r>
              <w:rPr>
                <w:rFonts w:hint="eastAsia" w:ascii="仿宋_GB2312" w:hAnsi="仿宋_GB2312" w:eastAsia="仿宋_GB2312" w:cs="仿宋_GB2312"/>
                <w:b/>
                <w:bCs/>
                <w:color w:val="auto"/>
                <w:kern w:val="0"/>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rPr>
              <w:t>名</w:t>
            </w:r>
          </w:p>
        </w:tc>
        <w:tc>
          <w:tcPr>
            <w:tcW w:w="98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bidi w:val="0"/>
              <w:spacing w:line="560" w:lineRule="exact"/>
              <w:ind w:right="0"/>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性别</w:t>
            </w:r>
          </w:p>
        </w:tc>
        <w:tc>
          <w:tcPr>
            <w:tcW w:w="19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bidi w:val="0"/>
              <w:spacing w:line="560" w:lineRule="exact"/>
              <w:ind w:right="0"/>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职</w:t>
            </w:r>
            <w:r>
              <w:rPr>
                <w:rFonts w:hint="eastAsia" w:ascii="仿宋_GB2312" w:hAnsi="仿宋_GB2312" w:eastAsia="仿宋_GB2312" w:cs="仿宋_GB2312"/>
                <w:b/>
                <w:bCs/>
                <w:color w:val="auto"/>
                <w:kern w:val="0"/>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rPr>
              <w:t>务</w:t>
            </w:r>
          </w:p>
        </w:tc>
        <w:tc>
          <w:tcPr>
            <w:tcW w:w="3973"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overflowPunct/>
              <w:topLinePunct w:val="0"/>
              <w:bidi w:val="0"/>
              <w:spacing w:line="560" w:lineRule="exact"/>
              <w:ind w:right="0" w:firstLine="1285" w:firstLineChars="400"/>
              <w:jc w:val="both"/>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从业年限</w:t>
            </w:r>
          </w:p>
        </w:tc>
      </w:tr>
      <w:tr>
        <w:tblPrEx>
          <w:tblLayout w:type="fixed"/>
          <w:tblCellMar>
            <w:top w:w="0" w:type="dxa"/>
            <w:left w:w="108" w:type="dxa"/>
            <w:bottom w:w="0" w:type="dxa"/>
            <w:right w:w="108" w:type="dxa"/>
          </w:tblCellMar>
        </w:tblPrEx>
        <w:trPr>
          <w:trHeight w:val="1787" w:hRule="atLeast"/>
          <w:jc w:val="center"/>
        </w:trPr>
        <w:tc>
          <w:tcPr>
            <w:tcW w:w="91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w:t>
            </w:r>
          </w:p>
        </w:tc>
        <w:tc>
          <w:tcPr>
            <w:tcW w:w="12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firstLine="0" w:firstLineChars="0"/>
              <w:jc w:val="center"/>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刘志文</w:t>
            </w:r>
          </w:p>
        </w:tc>
        <w:tc>
          <w:tcPr>
            <w:tcW w:w="9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男</w:t>
            </w:r>
          </w:p>
        </w:tc>
        <w:tc>
          <w:tcPr>
            <w:tcW w:w="191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党委书记、董事长</w:t>
            </w:r>
          </w:p>
        </w:tc>
        <w:tc>
          <w:tcPr>
            <w:tcW w:w="39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宋体" w:eastAsia="仿宋_GB2312" w:cs="仿宋_GB2312"/>
                <w:i w:val="0"/>
                <w:color w:val="auto"/>
                <w:kern w:val="0"/>
                <w:sz w:val="24"/>
                <w:szCs w:val="24"/>
                <w:highlight w:val="none"/>
                <w:u w:val="none"/>
                <w:lang w:val="en-US" w:eastAsia="zh-CN" w:bidi="ar"/>
              </w:rPr>
              <w:t>汉族，江西瑞金人，1985年1月出生，本科学历，中共党员，2009年5月参加工作，</w:t>
            </w:r>
            <w:r>
              <w:rPr>
                <w:rFonts w:hint="eastAsia" w:eastAsia="仿宋_GB2312"/>
                <w:sz w:val="24"/>
                <w:szCs w:val="21"/>
                <w:highlight w:val="none"/>
                <w:lang w:val="en-US" w:eastAsia="zh-CN"/>
              </w:rPr>
              <w:t>从事金融工作年限17年</w:t>
            </w:r>
            <w:r>
              <w:rPr>
                <w:rFonts w:hint="eastAsia" w:ascii="仿宋_GB2312" w:hAnsi="宋体" w:eastAsia="仿宋_GB2312" w:cs="仿宋_GB2312"/>
                <w:i w:val="0"/>
                <w:color w:val="auto"/>
                <w:kern w:val="0"/>
                <w:sz w:val="24"/>
                <w:szCs w:val="24"/>
                <w:highlight w:val="none"/>
                <w:u w:val="none"/>
                <w:lang w:val="en-US" w:eastAsia="zh-CN" w:bidi="ar"/>
              </w:rPr>
              <w:t>。</w:t>
            </w:r>
          </w:p>
        </w:tc>
      </w:tr>
      <w:tr>
        <w:tblPrEx>
          <w:tblLayout w:type="fixed"/>
          <w:tblCellMar>
            <w:top w:w="0" w:type="dxa"/>
            <w:left w:w="108" w:type="dxa"/>
            <w:bottom w:w="0" w:type="dxa"/>
            <w:right w:w="108" w:type="dxa"/>
          </w:tblCellMar>
        </w:tblPrEx>
        <w:trPr>
          <w:trHeight w:val="1740"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2</w:t>
            </w:r>
          </w:p>
        </w:tc>
        <w:tc>
          <w:tcPr>
            <w:tcW w:w="12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赵宽</w:t>
            </w:r>
          </w:p>
        </w:tc>
        <w:tc>
          <w:tcPr>
            <w:tcW w:w="98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男</w:t>
            </w:r>
          </w:p>
        </w:tc>
        <w:tc>
          <w:tcPr>
            <w:tcW w:w="19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党委委员、行长</w:t>
            </w:r>
          </w:p>
        </w:tc>
        <w:tc>
          <w:tcPr>
            <w:tcW w:w="39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eastAsia="仿宋_GB2312"/>
                <w:sz w:val="24"/>
                <w:szCs w:val="21"/>
                <w:highlight w:val="none"/>
                <w:lang w:val="en-US" w:eastAsia="zh-CN"/>
              </w:rPr>
              <w:t>汉族，江西寻乌人，1987年8月出生，大学本科学历，中共党员，2010年7月参加农商银行工作，从事金融工作年限16年。</w:t>
            </w:r>
          </w:p>
        </w:tc>
      </w:tr>
      <w:tr>
        <w:tblPrEx>
          <w:tblLayout w:type="fixed"/>
          <w:tblCellMar>
            <w:top w:w="0" w:type="dxa"/>
            <w:left w:w="108" w:type="dxa"/>
            <w:bottom w:w="0" w:type="dxa"/>
            <w:right w:w="108" w:type="dxa"/>
          </w:tblCellMar>
        </w:tblPrEx>
        <w:trPr>
          <w:trHeight w:val="1703"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w:t>
            </w:r>
          </w:p>
        </w:tc>
        <w:tc>
          <w:tcPr>
            <w:tcW w:w="12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王文金</w:t>
            </w:r>
          </w:p>
        </w:tc>
        <w:tc>
          <w:tcPr>
            <w:tcW w:w="98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男</w:t>
            </w:r>
          </w:p>
        </w:tc>
        <w:tc>
          <w:tcPr>
            <w:tcW w:w="19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党委委员、纪委书记、监事长</w:t>
            </w:r>
          </w:p>
        </w:tc>
        <w:tc>
          <w:tcPr>
            <w:tcW w:w="39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eastAsia="仿宋_GB2312"/>
                <w:sz w:val="24"/>
                <w:szCs w:val="21"/>
                <w:highlight w:val="none"/>
                <w:lang w:val="en-US" w:eastAsia="zh-CN"/>
              </w:rPr>
              <w:t>汉族，江西会昌人，1979年3月出生，本科学历，中共党员，1998年8月参加农商银行工作，从事金融工作年限28年。</w:t>
            </w:r>
          </w:p>
        </w:tc>
      </w:tr>
      <w:tr>
        <w:tblPrEx>
          <w:tblLayout w:type="fixed"/>
          <w:tblCellMar>
            <w:top w:w="0" w:type="dxa"/>
            <w:left w:w="108" w:type="dxa"/>
            <w:bottom w:w="0" w:type="dxa"/>
            <w:right w:w="108" w:type="dxa"/>
          </w:tblCellMar>
        </w:tblPrEx>
        <w:trPr>
          <w:trHeight w:val="1807"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4</w:t>
            </w:r>
          </w:p>
        </w:tc>
        <w:tc>
          <w:tcPr>
            <w:tcW w:w="12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赖建平</w:t>
            </w:r>
          </w:p>
        </w:tc>
        <w:tc>
          <w:tcPr>
            <w:tcW w:w="98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男</w:t>
            </w:r>
          </w:p>
        </w:tc>
        <w:tc>
          <w:tcPr>
            <w:tcW w:w="19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党委委员、副行长</w:t>
            </w:r>
          </w:p>
        </w:tc>
        <w:tc>
          <w:tcPr>
            <w:tcW w:w="397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eastAsia="仿宋_GB2312"/>
                <w:sz w:val="24"/>
                <w:szCs w:val="21"/>
                <w:highlight w:val="none"/>
                <w:lang w:val="en-US" w:eastAsia="zh-CN"/>
              </w:rPr>
              <w:t>汉族，江西寻乌人，1983年8月出生，大学本科学历，中共党员，2007年2月参加农商银行工作，从事金融工作年限19年。</w:t>
            </w:r>
          </w:p>
        </w:tc>
      </w:tr>
      <w:tr>
        <w:tblPrEx>
          <w:tblLayout w:type="fixed"/>
          <w:tblCellMar>
            <w:top w:w="0" w:type="dxa"/>
            <w:left w:w="108" w:type="dxa"/>
            <w:bottom w:w="0" w:type="dxa"/>
            <w:right w:w="108" w:type="dxa"/>
          </w:tblCellMar>
        </w:tblPrEx>
        <w:trPr>
          <w:trHeight w:val="1807"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5</w:t>
            </w:r>
          </w:p>
        </w:tc>
        <w:tc>
          <w:tcPr>
            <w:tcW w:w="12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罗京城</w:t>
            </w:r>
          </w:p>
        </w:tc>
        <w:tc>
          <w:tcPr>
            <w:tcW w:w="98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男</w:t>
            </w:r>
          </w:p>
        </w:tc>
        <w:tc>
          <w:tcPr>
            <w:tcW w:w="19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党委委员、副行长</w:t>
            </w:r>
          </w:p>
        </w:tc>
        <w:tc>
          <w:tcPr>
            <w:tcW w:w="39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both"/>
              <w:textAlignment w:val="auto"/>
              <w:rPr>
                <w:rFonts w:hint="eastAsia" w:eastAsia="仿宋_GB2312"/>
                <w:sz w:val="24"/>
                <w:szCs w:val="21"/>
                <w:highlight w:val="none"/>
                <w:lang w:val="en-US" w:eastAsia="zh-CN"/>
              </w:rPr>
            </w:pPr>
            <w:r>
              <w:rPr>
                <w:rFonts w:hint="eastAsia" w:eastAsia="仿宋_GB2312"/>
                <w:sz w:val="24"/>
                <w:szCs w:val="21"/>
                <w:highlight w:val="none"/>
                <w:lang w:val="en-US" w:eastAsia="zh-CN"/>
              </w:rPr>
              <w:t>汉族，江西寻乌人，1985年6月出生，本科学历，硕士学位，高级经济师，中级审计师，中共党员，2007年7月参加农商银行工作，从事金融工作年限19年。</w:t>
            </w: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sz w:val="32"/>
          <w:szCs w:val="40"/>
          <w:highlight w:val="none"/>
          <w:lang w:eastAsia="zh-CN"/>
        </w:rPr>
      </w:pPr>
      <w:r>
        <w:rPr>
          <w:rFonts w:hint="eastAsia" w:ascii="楷体_GB2312" w:hAnsi="楷体_GB2312" w:eastAsia="楷体_GB2312" w:cs="楷体_GB2312"/>
          <w:b/>
          <w:bCs/>
          <w:color w:val="auto"/>
          <w:kern w:val="0"/>
          <w:sz w:val="32"/>
          <w:szCs w:val="32"/>
          <w:highlight w:val="none"/>
          <w:lang w:val="en-US" w:eastAsia="zh-CN" w:bidi="ar-SA"/>
        </w:rPr>
        <w:t>（四）董事会、监事会、高级管理层职责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eastAsia" w:ascii="仿宋_GB2312" w:eastAsia="仿宋_GB2312"/>
          <w:b/>
          <w:bCs/>
          <w:sz w:val="32"/>
          <w:szCs w:val="32"/>
          <w:highlight w:val="none"/>
        </w:rPr>
        <w:t>董事会行使下列职权：</w:t>
      </w:r>
      <w:r>
        <w:rPr>
          <w:rFonts w:hint="eastAsia" w:ascii="仿宋_GB2312" w:eastAsia="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）负责召集股东会，并向大会报告工作；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）执行股东会的决议；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）确定本行的经营发展战略并监督战略的实施，决定本行的经营计划和投资方案，制定支农支小发展战略；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）制订本行利润分配方案（将主要股东以书面形式向本行作出在必要时向本行补充资本的长期承诺作为需要考虑的主要因素）和弥补亏损方案；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）制订本行增加或者减少注册资本、发行债券或者其他证券及上市的方案，制定资本规划（包含主要股东以书面形式向本行作出在必要时向本行补充资本的长期承诺的内容），承担资本或偿付能力管理最终责任；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）拟订本行重大收购、收购本行股份或者合并、分立、解散、清算和变更公司形式的方案；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）审议批准本行重大对外投资、资产购置、资产处置与核销、资产抵押、关联交易等事项；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）决定本行内部管理机构及非法人分支机构的设置；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）聘任或者解聘本行行长、董事会秘书；根据行长的提名，聘任或者解聘本行副行长、内审部门负责人、财务部门负责人、合规部门负责人；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）确定本行的风险容忍度、风险管理和内部控制政策；董事会对本行全面风险管理承担最终责任；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制订本行章程的修改方案，制订涉及全体股东利益的重大制度、基本制度、股东会议事规则、董事会议事规则、董事薪酬制度；审议并批准不涉及全体股东利益的重大制度、基本制度以及董事会专门委员、董事长办公会议事规则、行长办公会议事规则；制定高级管理层履职问责制度；审议或批准对经营活动有重要影响的具体制度,以及其他须由董事会审议或批准的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）负责本行的信息披露，并对本行的会计和财务报告的真实性、准确性、完整性和及时性承担最终责任；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）对聘用或解聘为公司财务报告进行定期法定审计的会计师事务所作出决议；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14</w:t>
      </w:r>
      <w:r>
        <w:rPr>
          <w:rFonts w:hint="eastAsia" w:ascii="仿宋_GB2312" w:eastAsia="仿宋_GB2312"/>
          <w:sz w:val="32"/>
          <w:szCs w:val="32"/>
          <w:highlight w:val="none"/>
        </w:rPr>
        <w:t>）听取本行行长的工作汇报并检查行长的工作；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15</w:t>
      </w:r>
      <w:r>
        <w:rPr>
          <w:rFonts w:hint="eastAsia" w:ascii="仿宋_GB2312" w:eastAsia="仿宋_GB2312"/>
          <w:sz w:val="32"/>
          <w:szCs w:val="32"/>
          <w:highlight w:val="none"/>
        </w:rPr>
        <w:t>）通报国家金融监督管理机构对本行的监管意见及本行执行整改情况；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16</w:t>
      </w:r>
      <w:r>
        <w:rPr>
          <w:rFonts w:hint="eastAsia" w:ascii="仿宋_GB2312" w:eastAsia="仿宋_GB2312"/>
          <w:sz w:val="32"/>
          <w:szCs w:val="32"/>
          <w:highlight w:val="none"/>
        </w:rPr>
        <w:t>）向股东会报告董事会对董事包括独立董事的履职评价结果；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17</w:t>
      </w:r>
      <w:r>
        <w:rPr>
          <w:rFonts w:hint="eastAsia" w:ascii="仿宋_GB2312" w:eastAsia="仿宋_GB2312"/>
          <w:sz w:val="32"/>
          <w:szCs w:val="32"/>
          <w:highlight w:val="none"/>
        </w:rPr>
        <w:t>）制订本行董事年度薪酬、津贴方案，报经股东会审议批准；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18</w:t>
      </w:r>
      <w:r>
        <w:rPr>
          <w:rFonts w:hint="eastAsia" w:ascii="仿宋_GB2312" w:eastAsia="仿宋_GB2312"/>
          <w:sz w:val="32"/>
          <w:szCs w:val="32"/>
          <w:highlight w:val="none"/>
        </w:rPr>
        <w:t>）按照监管规定，聘任或者解聘高级管理人员，并决定其报酬、奖惩事项，监督本行高级管理层的履职情况，确保高级管理层有效履行管理职责；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19</w:t>
      </w:r>
      <w:r>
        <w:rPr>
          <w:rFonts w:hint="eastAsia" w:ascii="仿宋_GB2312" w:eastAsia="仿宋_GB2312"/>
          <w:sz w:val="32"/>
          <w:szCs w:val="32"/>
          <w:highlight w:val="none"/>
        </w:rPr>
        <w:t>）制订股权激励方案；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）定期评估并完善银行本行公司治理；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）维护金融消费者和其他利益相关者合法权益；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rPr>
        <w:t>）建立本行与股东特别是主要股东之间利益冲突的识别、审查和管理机制；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）承担股东事务的管理责任；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）负责审批或授权审批与数据治理相关的重大事项，督促高级管理层提升数据治理有效性，对数据治理承担最终责任；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25</w:t>
      </w:r>
      <w:r>
        <w:rPr>
          <w:rFonts w:hint="eastAsia" w:ascii="仿宋_GB2312" w:eastAsia="仿宋_GB2312"/>
          <w:sz w:val="32"/>
          <w:szCs w:val="32"/>
          <w:highlight w:val="none"/>
        </w:rPr>
        <w:t>）法律、法规或本行章程规定，以及股东会授予或者监管部门要求董事会行使的其他职权。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b w:val="0"/>
          <w:bCs w:val="0"/>
          <w:sz w:val="32"/>
          <w:szCs w:val="32"/>
          <w:highlight w:val="none"/>
        </w:rPr>
      </w:pPr>
      <w:r>
        <w:rPr>
          <w:rFonts w:hint="eastAsia" w:ascii="仿宋_GB2312" w:eastAsia="仿宋_GB2312"/>
          <w:b/>
          <w:bCs/>
          <w:sz w:val="32"/>
          <w:szCs w:val="32"/>
          <w:highlight w:val="none"/>
          <w:lang w:val="en-US" w:eastAsia="zh-CN"/>
        </w:rPr>
        <w:t>2.</w:t>
      </w:r>
      <w:r>
        <w:rPr>
          <w:rFonts w:hint="eastAsia" w:ascii="仿宋_GB2312" w:eastAsia="仿宋_GB2312"/>
          <w:b/>
          <w:bCs/>
          <w:sz w:val="32"/>
          <w:szCs w:val="32"/>
          <w:highlight w:val="none"/>
        </w:rPr>
        <w:t>监事会行使下列职权：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 xml:space="preserve">）监督董事会、高级管理人员履行职责情况，监督董事会确立稳健的经营理念、价值准则和制定符合公司情况的发展战略；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）要求董事、董事长及高级管理人员纠正其损害本行利益的行为；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）对董事的选聘程序进行监督，对董事和高级管理人员进行专项审计和离任审计；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）对董事、董事长及高级管理人员进行质询；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）检查监督本行的财务活动；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 xml:space="preserve">）对本行的经营决策、风险管理和内部控制等进行监督检查并督促整改；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）对本行发展战略的科学性、合理性和稳健性进行评估，形成评估报告；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）对本行薪酬管理制度实施情况及高级管理人员薪酬方案的科学性、合理性进行监督；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）制订监事会议事规则、监事薪酬制度；制定董事、监事及高级管理层履职评价制度；审议并批准监事会专门委员会议事规则；监督制度的制定与完善；监督制度的实施；监督其他制度管理情况；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）提议召开临时股东会；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）其他法律、法规、规章及本章程规定应当由监事会行使的职权。</w:t>
      </w:r>
    </w:p>
    <w:p>
      <w:pPr>
        <w:keepNext w:val="0"/>
        <w:keepLines w:val="0"/>
        <w:pageBreakBefore w:val="0"/>
        <w:kinsoku/>
        <w:wordWrap/>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eastAsia="仿宋_GB2312"/>
          <w:sz w:val="32"/>
          <w:szCs w:val="32"/>
          <w:highlight w:val="none"/>
        </w:rPr>
      </w:pPr>
      <w:r>
        <w:rPr>
          <w:rFonts w:hint="eastAsia" w:ascii="仿宋_GB2312" w:eastAsia="仿宋_GB2312"/>
          <w:b/>
          <w:bCs/>
          <w:sz w:val="32"/>
          <w:szCs w:val="32"/>
          <w:highlight w:val="none"/>
          <w:lang w:val="en-US" w:eastAsia="zh-CN"/>
        </w:rPr>
        <w:t>3.高级管理层职责：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 xml:space="preserve">）监督董事会、高级管理人员履行职责情况，监督董事会确立稳健的经营理念、价值准则和制定符合公司情况的发展战略；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）要求董事、董事长及高级管理人员纠正其损害本行利益的行为；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）对董事的选聘程序进行监督，对董事和高级管理人员进行专项审计和离任审计；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）对董事、董事长及高级管理人员进行质询；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）检查监督本行的财务活动；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lang w:eastAsia="zh-CN"/>
        </w:rPr>
        <w:t xml:space="preserve">）对本行的经营决策、风险管理和内部控制等进行监督检查并督促整改；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lang w:eastAsia="zh-CN"/>
        </w:rPr>
        <w:t>）对本行发展战略的科学性、合理性和稳健性进行评估，形成评估报告；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lang w:eastAsia="zh-CN"/>
        </w:rPr>
        <w:t>）对本行薪酬管理制度实施情况及高级管理人员薪酬方案的科学性、合理性进行监督；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lang w:eastAsia="zh-CN"/>
        </w:rPr>
        <w:t>）制订监事会议事规则、监事薪酬制度；制定董事、监事及高级管理层履职评价制度；审议并批准监事会专门委员会议事规则；监督制度的制定与完善；监督制度的实施；监督其他制度管理情况；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lang w:eastAsia="zh-CN"/>
        </w:rPr>
        <w:t>）提议召开临时股东会；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lang w:eastAsia="zh-CN"/>
        </w:rPr>
        <w:t>）其他法律、法规、规章及本章程规定应当由监事会行使的职权。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eastAsia="zh-CN"/>
        </w:rPr>
      </w:pPr>
      <w:r>
        <w:rPr>
          <w:rFonts w:hint="eastAsia" w:ascii="楷体_GB2312" w:hAnsi="楷体_GB2312" w:eastAsia="楷体_GB2312" w:cs="楷体_GB2312"/>
          <w:b/>
          <w:bCs/>
          <w:color w:val="auto"/>
          <w:kern w:val="0"/>
          <w:sz w:val="32"/>
          <w:szCs w:val="32"/>
          <w:highlight w:val="none"/>
          <w:lang w:eastAsia="zh-CN"/>
        </w:rPr>
        <w:t>（五）部门及分支机构情况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本行内设机构有办公室、人力资源部、党风行风监督室、</w:t>
      </w:r>
      <w:r>
        <w:rPr>
          <w:rFonts w:hint="eastAsia" w:ascii="仿宋_GB2312" w:hAnsi="仿宋_GB2312" w:eastAsia="仿宋_GB2312" w:cs="仿宋_GB2312"/>
          <w:color w:val="auto"/>
          <w:sz w:val="32"/>
          <w:szCs w:val="32"/>
          <w:highlight w:val="none"/>
          <w:lang w:eastAsia="zh-CN"/>
        </w:rPr>
        <w:t>计划财务</w:t>
      </w:r>
      <w:r>
        <w:rPr>
          <w:rFonts w:hint="eastAsia" w:ascii="仿宋_GB2312" w:hAnsi="仿宋_GB2312" w:eastAsia="仿宋_GB2312" w:cs="仿宋_GB2312"/>
          <w:color w:val="auto"/>
          <w:sz w:val="32"/>
          <w:szCs w:val="32"/>
          <w:highlight w:val="none"/>
        </w:rPr>
        <w:t>部、运营管理部、审计部、</w:t>
      </w:r>
      <w:r>
        <w:rPr>
          <w:rFonts w:hint="eastAsia" w:ascii="仿宋_GB2312" w:hAnsi="仿宋_GB2312" w:eastAsia="仿宋_GB2312" w:cs="仿宋_GB2312"/>
          <w:color w:val="auto"/>
          <w:sz w:val="32"/>
          <w:szCs w:val="32"/>
          <w:highlight w:val="none"/>
          <w:lang w:val="en-US" w:eastAsia="zh-CN"/>
        </w:rPr>
        <w:t>法律</w:t>
      </w:r>
      <w:r>
        <w:rPr>
          <w:rFonts w:hint="eastAsia" w:ascii="仿宋_GB2312" w:hAnsi="仿宋_GB2312" w:eastAsia="仿宋_GB2312" w:cs="仿宋_GB2312"/>
          <w:color w:val="auto"/>
          <w:sz w:val="32"/>
          <w:szCs w:val="32"/>
          <w:highlight w:val="none"/>
        </w:rPr>
        <w:t>合规部、</w:t>
      </w:r>
      <w:r>
        <w:rPr>
          <w:rFonts w:hint="eastAsia" w:ascii="仿宋_GB2312" w:hAnsi="仿宋_GB2312" w:eastAsia="仿宋_GB2312" w:cs="仿宋_GB2312"/>
          <w:color w:val="auto"/>
          <w:sz w:val="32"/>
          <w:szCs w:val="32"/>
          <w:highlight w:val="none"/>
          <w:lang w:val="en-US" w:eastAsia="zh-CN"/>
        </w:rPr>
        <w:t>风险管理部、</w:t>
      </w:r>
      <w:r>
        <w:rPr>
          <w:rFonts w:hint="eastAsia" w:ascii="仿宋_GB2312" w:hAnsi="仿宋_GB2312" w:eastAsia="仿宋_GB2312" w:cs="仿宋_GB2312"/>
          <w:color w:val="auto"/>
          <w:sz w:val="32"/>
          <w:szCs w:val="32"/>
          <w:highlight w:val="none"/>
        </w:rPr>
        <w:t>业务拓展部、安全保卫部、</w:t>
      </w:r>
      <w:r>
        <w:rPr>
          <w:rFonts w:hint="eastAsia" w:ascii="仿宋_GB2312" w:hAnsi="仿宋_GB2312" w:eastAsia="仿宋_GB2312" w:cs="仿宋_GB2312"/>
          <w:color w:val="auto"/>
          <w:sz w:val="32"/>
          <w:szCs w:val="32"/>
          <w:highlight w:val="none"/>
          <w:lang w:eastAsia="zh-CN"/>
        </w:rPr>
        <w:t>党群工作部、</w:t>
      </w:r>
      <w:r>
        <w:rPr>
          <w:rFonts w:hint="eastAsia" w:ascii="仿宋_GB2312" w:hAnsi="仿宋_GB2312" w:eastAsia="仿宋_GB2312" w:cs="仿宋_GB2312"/>
          <w:color w:val="auto"/>
          <w:sz w:val="32"/>
          <w:szCs w:val="32"/>
          <w:highlight w:val="none"/>
          <w:lang w:val="en-US" w:eastAsia="zh-CN"/>
        </w:rPr>
        <w:t>信贷管理部、授信评审部</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个职能部室及</w:t>
      </w:r>
      <w:r>
        <w:rPr>
          <w:rFonts w:hint="eastAsia" w:ascii="仿宋_GB2312" w:hAnsi="仿宋_GB2312" w:eastAsia="仿宋_GB2312" w:cs="仿宋_GB2312"/>
          <w:color w:val="auto"/>
          <w:sz w:val="32"/>
          <w:szCs w:val="32"/>
          <w:highlight w:val="none"/>
          <w:lang w:eastAsia="zh-CN"/>
        </w:rPr>
        <w:t>资金事业</w:t>
      </w:r>
      <w:r>
        <w:rPr>
          <w:rFonts w:hint="eastAsia" w:ascii="仿宋_GB2312" w:hAnsi="仿宋_GB2312" w:eastAsia="仿宋_GB2312" w:cs="仿宋_GB2312"/>
          <w:color w:val="auto"/>
          <w:sz w:val="32"/>
          <w:szCs w:val="32"/>
          <w:highlight w:val="none"/>
        </w:rPr>
        <w:t>部、清收事业部</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个事业部，辖内</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个营业网点，其中总行营业部1个，支行</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eastAsia="zh-CN"/>
        </w:rPr>
      </w:pPr>
      <w:r>
        <w:rPr>
          <w:rFonts w:hint="eastAsia" w:ascii="楷体_GB2312" w:hAnsi="楷体_GB2312" w:eastAsia="楷体_GB2312" w:cs="楷体_GB2312"/>
          <w:b/>
          <w:bCs/>
          <w:color w:val="auto"/>
          <w:kern w:val="0"/>
          <w:sz w:val="32"/>
          <w:szCs w:val="32"/>
          <w:highlight w:val="none"/>
          <w:lang w:eastAsia="zh-CN"/>
        </w:rPr>
        <w:t>（六）员工情况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年末，本行在岗员工</w:t>
      </w:r>
      <w:r>
        <w:rPr>
          <w:rFonts w:hint="eastAsia" w:ascii="仿宋_GB2312" w:hAnsi="仿宋_GB2312" w:eastAsia="仿宋_GB2312" w:cs="仿宋_GB2312"/>
          <w:color w:val="auto"/>
          <w:sz w:val="32"/>
          <w:szCs w:val="32"/>
          <w:highlight w:val="none"/>
          <w:lang w:val="en-US" w:eastAsia="zh-CN"/>
        </w:rPr>
        <w:t>209</w:t>
      </w:r>
      <w:r>
        <w:rPr>
          <w:rFonts w:hint="eastAsia" w:ascii="仿宋_GB2312" w:hAnsi="仿宋_GB2312" w:eastAsia="仿宋_GB2312" w:cs="仿宋_GB2312"/>
          <w:color w:val="auto"/>
          <w:sz w:val="32"/>
          <w:szCs w:val="32"/>
          <w:highlight w:val="none"/>
        </w:rPr>
        <w:t>人。</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b/>
          <w:bCs/>
          <w:color w:val="auto"/>
          <w:kern w:val="0"/>
          <w:sz w:val="32"/>
          <w:szCs w:val="32"/>
          <w:highlight w:val="none"/>
          <w:lang w:val="en-US" w:eastAsia="zh-CN" w:bidi="ar-SA"/>
        </w:rPr>
        <w:t xml:space="preserve"> （七）年度内股东会情况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年共召开</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次股东大会。</w:t>
      </w:r>
      <w:r>
        <w:rPr>
          <w:rFonts w:hint="eastAsia" w:ascii="仿宋_GB2312" w:hAnsi="仿宋_GB2312" w:eastAsia="仿宋_GB2312" w:cs="仿宋_GB2312"/>
          <w:color w:val="auto"/>
          <w:sz w:val="32"/>
          <w:szCs w:val="32"/>
          <w:highlight w:val="none"/>
          <w:lang w:val="en-US" w:eastAsia="zh-CN"/>
        </w:rPr>
        <w:t>分别为5月9日召开2025年第一次临时股东会，6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日召开202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年度股东大会，</w:t>
      </w:r>
      <w:r>
        <w:rPr>
          <w:rFonts w:hint="eastAsia" w:ascii="仿宋_GB2312" w:hAnsi="仿宋_GB2312" w:eastAsia="仿宋_GB2312" w:cs="仿宋_GB2312"/>
          <w:color w:val="auto"/>
          <w:sz w:val="32"/>
          <w:szCs w:val="32"/>
          <w:highlight w:val="none"/>
          <w:lang w:val="en-US" w:eastAsia="zh-CN"/>
        </w:rPr>
        <w:t>12月17日召开2025年第二次临时股东会，共</w:t>
      </w:r>
      <w:r>
        <w:rPr>
          <w:rFonts w:hint="eastAsia" w:ascii="仿宋_GB2312" w:hAnsi="仿宋_GB2312" w:eastAsia="仿宋_GB2312" w:cs="仿宋_GB2312"/>
          <w:color w:val="auto"/>
          <w:sz w:val="32"/>
          <w:szCs w:val="32"/>
          <w:highlight w:val="none"/>
        </w:rPr>
        <w:t>审议通过董事会、监事会工作报告、财务预决算方案和利润分配方案等议案和报告</w:t>
      </w:r>
      <w:r>
        <w:rPr>
          <w:rFonts w:hint="eastAsia" w:ascii="仿宋_GB2312" w:hAnsi="仿宋_GB2312" w:eastAsia="仿宋_GB2312" w:cs="仿宋_GB2312"/>
          <w:color w:val="auto"/>
          <w:sz w:val="32"/>
          <w:szCs w:val="32"/>
          <w:highlight w:val="none"/>
          <w:lang w:eastAsia="zh-CN"/>
        </w:rPr>
        <w:t>共</w:t>
      </w:r>
      <w:r>
        <w:rPr>
          <w:rFonts w:hint="eastAsia" w:ascii="仿宋_GB2312" w:hAnsi="仿宋_GB2312" w:eastAsia="仿宋_GB2312" w:cs="仿宋_GB2312"/>
          <w:color w:val="auto"/>
          <w:sz w:val="32"/>
          <w:szCs w:val="32"/>
          <w:highlight w:val="none"/>
          <w:lang w:val="en-US" w:eastAsia="zh-CN"/>
        </w:rPr>
        <w:t>29个议案</w:t>
      </w:r>
      <w:r>
        <w:rPr>
          <w:rFonts w:hint="eastAsia" w:ascii="仿宋_GB2312" w:hAnsi="仿宋_GB2312" w:eastAsia="仿宋_GB2312" w:cs="仿宋_GB2312"/>
          <w:color w:val="auto"/>
          <w:sz w:val="32"/>
          <w:szCs w:val="32"/>
          <w:highlight w:val="none"/>
        </w:rPr>
        <w:t>，并对年度工作计划进行研究部署。还聘请律师专门组织股东、董事、监事和高管人员进行培训。股东会上，各股东代表均以主人翁的姿态，纷纷建言献策，畅所欲言，增进农商银行工作的透明度和公信度。</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（八）股东提名董事、监事情况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2025年度股东未提名董事、监事人选。</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五、重要事项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（一）股本变动及股东情况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1.股东权益变动表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单位：万元</w:t>
      </w:r>
    </w:p>
    <w:tbl>
      <w:tblPr>
        <w:tblStyle w:val="14"/>
        <w:tblW w:w="911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3"/>
        <w:gridCol w:w="2241"/>
        <w:gridCol w:w="2241"/>
        <w:gridCol w:w="20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项</w:t>
            </w:r>
            <w:r>
              <w:rPr>
                <w:rFonts w:hint="eastAsia" w:ascii="仿宋_GB2312" w:hAnsi="仿宋_GB2312" w:eastAsia="仿宋_GB2312" w:cs="仿宋_GB2312"/>
                <w:b/>
                <w:bCs/>
                <w:color w:val="auto"/>
                <w:kern w:val="0"/>
                <w:sz w:val="28"/>
                <w:szCs w:val="28"/>
                <w:highlight w:val="none"/>
                <w:lang w:val="en-US" w:eastAsia="zh-CN"/>
              </w:rPr>
              <w:t xml:space="preserve"> </w:t>
            </w:r>
            <w:r>
              <w:rPr>
                <w:rFonts w:hint="eastAsia" w:ascii="仿宋_GB2312" w:hAnsi="仿宋_GB2312" w:eastAsia="仿宋_GB2312" w:cs="仿宋_GB2312"/>
                <w:b/>
                <w:bCs/>
                <w:color w:val="auto"/>
                <w:kern w:val="0"/>
                <w:sz w:val="28"/>
                <w:szCs w:val="28"/>
                <w:highlight w:val="none"/>
              </w:rPr>
              <w:t>目</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202</w:t>
            </w:r>
            <w:r>
              <w:rPr>
                <w:rFonts w:hint="eastAsia" w:ascii="仿宋_GB2312" w:hAnsi="仿宋_GB2312" w:eastAsia="仿宋_GB2312" w:cs="仿宋_GB2312"/>
                <w:b/>
                <w:bCs/>
                <w:color w:val="auto"/>
                <w:kern w:val="0"/>
                <w:sz w:val="28"/>
                <w:szCs w:val="28"/>
                <w:highlight w:val="none"/>
                <w:lang w:val="en-US" w:eastAsia="zh-CN"/>
              </w:rPr>
              <w:t>5</w:t>
            </w:r>
            <w:r>
              <w:rPr>
                <w:rFonts w:hint="eastAsia" w:ascii="仿宋_GB2312" w:hAnsi="仿宋_GB2312" w:eastAsia="仿宋_GB2312" w:cs="仿宋_GB2312"/>
                <w:b/>
                <w:bCs/>
                <w:color w:val="auto"/>
                <w:kern w:val="0"/>
                <w:sz w:val="28"/>
                <w:szCs w:val="28"/>
                <w:highlight w:val="none"/>
              </w:rPr>
              <w:t>年末</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本期增加</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rightChars="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202</w:t>
            </w:r>
            <w:r>
              <w:rPr>
                <w:rFonts w:hint="eastAsia" w:ascii="仿宋_GB2312" w:hAnsi="仿宋_GB2312" w:eastAsia="仿宋_GB2312" w:cs="仿宋_GB2312"/>
                <w:b/>
                <w:bCs/>
                <w:color w:val="auto"/>
                <w:kern w:val="0"/>
                <w:sz w:val="28"/>
                <w:szCs w:val="28"/>
                <w:highlight w:val="none"/>
                <w:lang w:val="en-US" w:eastAsia="zh-CN"/>
              </w:rPr>
              <w:t>4</w:t>
            </w:r>
            <w:r>
              <w:rPr>
                <w:rFonts w:hint="eastAsia" w:ascii="仿宋_GB2312" w:hAnsi="仿宋_GB2312" w:eastAsia="仿宋_GB2312" w:cs="仿宋_GB2312"/>
                <w:b/>
                <w:bCs/>
                <w:color w:val="auto"/>
                <w:kern w:val="0"/>
                <w:sz w:val="28"/>
                <w:szCs w:val="28"/>
                <w:highlight w:val="none"/>
              </w:rPr>
              <w:t>年末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股</w:t>
            </w:r>
            <w:r>
              <w:rPr>
                <w:rFonts w:hint="eastAsia" w:ascii="仿宋_GB2312" w:hAnsi="仿宋_GB2312" w:eastAsia="仿宋_GB2312" w:cs="仿宋_GB2312"/>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本</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color w:val="auto"/>
                <w:kern w:val="0"/>
                <w:sz w:val="28"/>
                <w:szCs w:val="28"/>
                <w:u w:val="none"/>
                <w:lang w:val="en-US" w:eastAsia="zh-CN" w:bidi="ar"/>
              </w:rPr>
              <w:t>15,474.25</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color w:val="auto"/>
                <w:kern w:val="0"/>
                <w:sz w:val="28"/>
                <w:szCs w:val="28"/>
                <w:u w:val="none"/>
                <w:lang w:val="en-US" w:eastAsia="zh-CN" w:bidi="ar"/>
              </w:rPr>
              <w:t>153.21</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color w:val="auto"/>
                <w:kern w:val="0"/>
                <w:sz w:val="28"/>
                <w:szCs w:val="28"/>
                <w:u w:val="none"/>
                <w:lang w:val="en-US" w:eastAsia="zh-CN" w:bidi="ar"/>
              </w:rPr>
              <w:t>15,321.04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资本公积</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color w:val="auto"/>
                <w:kern w:val="0"/>
                <w:sz w:val="28"/>
                <w:szCs w:val="28"/>
                <w:u w:val="none"/>
                <w:lang w:val="en-US" w:eastAsia="zh-CN" w:bidi="ar"/>
              </w:rPr>
              <w:t>793.98</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color w:val="auto"/>
                <w:kern w:val="0"/>
                <w:sz w:val="28"/>
                <w:szCs w:val="28"/>
                <w:u w:val="none"/>
                <w:lang w:val="en-US" w:eastAsia="zh-CN" w:bidi="ar"/>
              </w:rPr>
              <w:t>0.00</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color w:val="auto"/>
                <w:kern w:val="0"/>
                <w:sz w:val="28"/>
                <w:szCs w:val="28"/>
                <w:u w:val="none"/>
                <w:lang w:val="en-US" w:eastAsia="zh-CN" w:bidi="ar"/>
              </w:rPr>
              <w:t>793.98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盈余公积</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color w:val="auto"/>
                <w:kern w:val="0"/>
                <w:sz w:val="28"/>
                <w:szCs w:val="28"/>
                <w:u w:val="none"/>
                <w:lang w:val="en-US" w:eastAsia="zh-CN" w:bidi="ar"/>
              </w:rPr>
              <w:t>17,058.55</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color w:val="auto"/>
                <w:kern w:val="0"/>
                <w:sz w:val="28"/>
                <w:szCs w:val="28"/>
                <w:u w:val="none"/>
                <w:lang w:val="en-US" w:eastAsia="zh-CN" w:bidi="ar"/>
              </w:rPr>
              <w:t>1,210.77</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color w:val="auto"/>
                <w:kern w:val="0"/>
                <w:sz w:val="28"/>
                <w:szCs w:val="28"/>
                <w:u w:val="none"/>
                <w:lang w:val="en-US" w:eastAsia="zh-CN" w:bidi="ar"/>
              </w:rPr>
              <w:t>15,847.78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一般风险准备</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color w:val="auto"/>
                <w:kern w:val="0"/>
                <w:sz w:val="28"/>
                <w:szCs w:val="28"/>
                <w:u w:val="none"/>
                <w:lang w:val="en-US" w:eastAsia="zh-CN" w:bidi="ar"/>
              </w:rPr>
              <w:t>21,326.51</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color w:val="auto"/>
                <w:kern w:val="0"/>
                <w:sz w:val="28"/>
                <w:szCs w:val="28"/>
                <w:u w:val="none"/>
                <w:lang w:val="en-US" w:eastAsia="zh-CN" w:bidi="ar"/>
              </w:rPr>
              <w:t>0.00</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color w:val="auto"/>
                <w:kern w:val="0"/>
                <w:sz w:val="28"/>
                <w:szCs w:val="28"/>
                <w:u w:val="none"/>
                <w:lang w:val="en-US" w:eastAsia="zh-CN" w:bidi="ar"/>
              </w:rPr>
              <w:t>21,326.51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未分配利润</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color w:val="auto"/>
                <w:kern w:val="0"/>
                <w:sz w:val="28"/>
                <w:szCs w:val="28"/>
                <w:u w:val="none"/>
                <w:lang w:val="en-US" w:eastAsia="zh-CN" w:bidi="ar"/>
              </w:rPr>
              <w:t>51,769.17</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color w:val="auto"/>
                <w:kern w:val="0"/>
                <w:sz w:val="28"/>
                <w:szCs w:val="28"/>
                <w:u w:val="none"/>
                <w:lang w:val="en-US" w:eastAsia="zh-CN" w:bidi="ar"/>
              </w:rPr>
              <w:t>6,641.51</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color w:val="auto"/>
                <w:kern w:val="0"/>
                <w:sz w:val="28"/>
                <w:szCs w:val="28"/>
                <w:u w:val="none"/>
                <w:lang w:val="en-US" w:eastAsia="zh-CN" w:bidi="ar"/>
              </w:rPr>
              <w:t>45,127.66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其他综合收益</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color w:val="auto"/>
                <w:kern w:val="0"/>
                <w:sz w:val="28"/>
                <w:szCs w:val="28"/>
                <w:u w:val="none"/>
                <w:lang w:val="en-US" w:eastAsia="zh-CN" w:bidi="ar"/>
              </w:rPr>
              <w:t>530.43</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color w:val="auto"/>
                <w:kern w:val="0"/>
                <w:sz w:val="28"/>
                <w:szCs w:val="28"/>
                <w:u w:val="none"/>
                <w:lang w:val="en-US" w:eastAsia="zh-CN" w:bidi="ar"/>
              </w:rPr>
              <w:t>275.49</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color w:val="auto"/>
                <w:kern w:val="0"/>
                <w:sz w:val="28"/>
                <w:szCs w:val="28"/>
                <w:u w:val="none"/>
                <w:lang w:val="en-US" w:eastAsia="zh-CN" w:bidi="ar"/>
              </w:rPr>
              <w:t>254.94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jc w:val="center"/>
        </w:trPr>
        <w:tc>
          <w:tcPr>
            <w:tcW w:w="26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所有者权益合计</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color w:val="auto"/>
                <w:kern w:val="0"/>
                <w:sz w:val="28"/>
                <w:szCs w:val="28"/>
                <w:u w:val="none"/>
                <w:lang w:val="en-US" w:eastAsia="zh-CN" w:bidi="ar"/>
              </w:rPr>
              <w:t>106,952.89</w:t>
            </w:r>
          </w:p>
        </w:tc>
        <w:tc>
          <w:tcPr>
            <w:tcW w:w="2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color w:val="auto"/>
                <w:kern w:val="0"/>
                <w:sz w:val="28"/>
                <w:szCs w:val="28"/>
                <w:u w:val="none"/>
                <w:lang w:val="en-US" w:eastAsia="zh-CN" w:bidi="ar"/>
              </w:rPr>
              <w:t>8,281.00</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i w:val="0"/>
                <w:color w:val="auto"/>
                <w:kern w:val="0"/>
                <w:sz w:val="28"/>
                <w:szCs w:val="28"/>
                <w:u w:val="none"/>
                <w:lang w:val="en-US" w:eastAsia="zh-CN" w:bidi="ar"/>
              </w:rPr>
              <w:t>98,671.89</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2.股东权益变动表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单位：万元</w:t>
      </w:r>
    </w:p>
    <w:tbl>
      <w:tblPr>
        <w:tblStyle w:val="14"/>
        <w:tblW w:w="9099" w:type="dxa"/>
        <w:tblInd w:w="0" w:type="dxa"/>
        <w:tblLayout w:type="fixed"/>
        <w:tblCellMar>
          <w:top w:w="0" w:type="dxa"/>
          <w:left w:w="108" w:type="dxa"/>
          <w:bottom w:w="0" w:type="dxa"/>
          <w:right w:w="108" w:type="dxa"/>
        </w:tblCellMar>
      </w:tblPr>
      <w:tblGrid>
        <w:gridCol w:w="2610"/>
        <w:gridCol w:w="3408"/>
        <w:gridCol w:w="3081"/>
      </w:tblGrid>
      <w:tr>
        <w:tblPrEx>
          <w:tblLayout w:type="fixed"/>
          <w:tblCellMar>
            <w:top w:w="0" w:type="dxa"/>
            <w:left w:w="108" w:type="dxa"/>
            <w:bottom w:w="0" w:type="dxa"/>
            <w:right w:w="108" w:type="dxa"/>
          </w:tblCellMar>
        </w:tblPrEx>
        <w:trPr>
          <w:trHeight w:val="645" w:hRule="atLeast"/>
        </w:trPr>
        <w:tc>
          <w:tcPr>
            <w:tcW w:w="26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股东类型</w:t>
            </w:r>
          </w:p>
        </w:tc>
        <w:tc>
          <w:tcPr>
            <w:tcW w:w="340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val="en-US" w:eastAsia="zh-CN"/>
              </w:rPr>
              <w:t>2025</w:t>
            </w:r>
            <w:r>
              <w:rPr>
                <w:rFonts w:hint="eastAsia" w:ascii="仿宋_GB2312" w:hAnsi="仿宋_GB2312" w:eastAsia="仿宋_GB2312" w:cs="仿宋_GB2312"/>
                <w:b/>
                <w:bCs/>
                <w:color w:val="auto"/>
                <w:kern w:val="0"/>
                <w:sz w:val="28"/>
                <w:szCs w:val="28"/>
                <w:highlight w:val="none"/>
              </w:rPr>
              <w:t>年末股本数</w:t>
            </w:r>
          </w:p>
        </w:tc>
        <w:tc>
          <w:tcPr>
            <w:tcW w:w="308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占总股本比例（%）</w:t>
            </w:r>
          </w:p>
        </w:tc>
      </w:tr>
      <w:tr>
        <w:tblPrEx>
          <w:tblLayout w:type="fixed"/>
          <w:tblCellMar>
            <w:top w:w="0" w:type="dxa"/>
            <w:left w:w="108" w:type="dxa"/>
            <w:bottom w:w="0" w:type="dxa"/>
            <w:right w:w="108" w:type="dxa"/>
          </w:tblCellMar>
        </w:tblPrEx>
        <w:trPr>
          <w:trHeight w:val="645" w:hRule="atLeast"/>
        </w:trPr>
        <w:tc>
          <w:tcPr>
            <w:tcW w:w="261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法人股</w:t>
            </w:r>
          </w:p>
        </w:tc>
        <w:tc>
          <w:tcPr>
            <w:tcW w:w="34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2183.4703</w:t>
            </w:r>
          </w:p>
        </w:tc>
        <w:tc>
          <w:tcPr>
            <w:tcW w:w="30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14.11</w:t>
            </w:r>
          </w:p>
        </w:tc>
      </w:tr>
      <w:tr>
        <w:tblPrEx>
          <w:tblLayout w:type="fixed"/>
          <w:tblCellMar>
            <w:top w:w="0" w:type="dxa"/>
            <w:left w:w="108" w:type="dxa"/>
            <w:bottom w:w="0" w:type="dxa"/>
            <w:right w:w="108" w:type="dxa"/>
          </w:tblCellMar>
        </w:tblPrEx>
        <w:trPr>
          <w:trHeight w:val="645" w:hRule="atLeast"/>
        </w:trPr>
        <w:tc>
          <w:tcPr>
            <w:tcW w:w="261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职工自然人股</w:t>
            </w:r>
          </w:p>
        </w:tc>
        <w:tc>
          <w:tcPr>
            <w:tcW w:w="34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2227.0045</w:t>
            </w:r>
          </w:p>
        </w:tc>
        <w:tc>
          <w:tcPr>
            <w:tcW w:w="30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14.39</w:t>
            </w:r>
          </w:p>
        </w:tc>
      </w:tr>
      <w:tr>
        <w:tblPrEx>
          <w:tblLayout w:type="fixed"/>
          <w:tblCellMar>
            <w:top w:w="0" w:type="dxa"/>
            <w:left w:w="108" w:type="dxa"/>
            <w:bottom w:w="0" w:type="dxa"/>
            <w:right w:w="108" w:type="dxa"/>
          </w:tblCellMar>
        </w:tblPrEx>
        <w:trPr>
          <w:trHeight w:val="667" w:hRule="atLeast"/>
        </w:trPr>
        <w:tc>
          <w:tcPr>
            <w:tcW w:w="261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非</w:t>
            </w:r>
            <w:r>
              <w:rPr>
                <w:rFonts w:hint="eastAsia" w:ascii="仿宋_GB2312" w:hAnsi="仿宋_GB2312" w:eastAsia="仿宋_GB2312" w:cs="仿宋_GB2312"/>
                <w:color w:val="auto"/>
                <w:kern w:val="0"/>
                <w:sz w:val="28"/>
                <w:szCs w:val="28"/>
                <w:highlight w:val="none"/>
              </w:rPr>
              <w:t>职工自然人股</w:t>
            </w:r>
          </w:p>
        </w:tc>
        <w:tc>
          <w:tcPr>
            <w:tcW w:w="340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11063.7761</w:t>
            </w:r>
          </w:p>
        </w:tc>
        <w:tc>
          <w:tcPr>
            <w:tcW w:w="30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71.50</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3.最大十名股东名称及报告期内变动情况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单位：万股</w:t>
      </w:r>
    </w:p>
    <w:tbl>
      <w:tblPr>
        <w:tblStyle w:val="14"/>
        <w:tblW w:w="9117" w:type="dxa"/>
        <w:jc w:val="center"/>
        <w:tblInd w:w="0" w:type="dxa"/>
        <w:tblLayout w:type="fixed"/>
        <w:tblCellMar>
          <w:top w:w="0" w:type="dxa"/>
          <w:left w:w="108" w:type="dxa"/>
          <w:bottom w:w="0" w:type="dxa"/>
          <w:right w:w="108" w:type="dxa"/>
        </w:tblCellMar>
      </w:tblPr>
      <w:tblGrid>
        <w:gridCol w:w="2861"/>
        <w:gridCol w:w="1590"/>
        <w:gridCol w:w="1529"/>
        <w:gridCol w:w="1590"/>
        <w:gridCol w:w="1547"/>
      </w:tblGrid>
      <w:tr>
        <w:tblPrEx>
          <w:tblLayout w:type="fixed"/>
          <w:tblCellMar>
            <w:top w:w="0" w:type="dxa"/>
            <w:left w:w="108" w:type="dxa"/>
            <w:bottom w:w="0" w:type="dxa"/>
            <w:right w:w="108" w:type="dxa"/>
          </w:tblCellMar>
        </w:tblPrEx>
        <w:trPr>
          <w:trHeight w:val="454" w:hRule="atLeast"/>
          <w:jc w:val="center"/>
        </w:trPr>
        <w:tc>
          <w:tcPr>
            <w:tcW w:w="2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股东名称</w:t>
            </w:r>
          </w:p>
        </w:tc>
        <w:tc>
          <w:tcPr>
            <w:tcW w:w="159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期初持股数额</w:t>
            </w:r>
          </w:p>
        </w:tc>
        <w:tc>
          <w:tcPr>
            <w:tcW w:w="15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本期增减变动</w:t>
            </w:r>
          </w:p>
        </w:tc>
        <w:tc>
          <w:tcPr>
            <w:tcW w:w="159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期末持股数额</w:t>
            </w:r>
          </w:p>
        </w:tc>
        <w:tc>
          <w:tcPr>
            <w:tcW w:w="15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持股比例（%）</w:t>
            </w:r>
          </w:p>
        </w:tc>
      </w:tr>
      <w:tr>
        <w:tblPrEx>
          <w:tblLayout w:type="fixed"/>
          <w:tblCellMar>
            <w:top w:w="0" w:type="dxa"/>
            <w:left w:w="108" w:type="dxa"/>
            <w:bottom w:w="0" w:type="dxa"/>
            <w:right w:w="108" w:type="dxa"/>
          </w:tblCellMar>
        </w:tblPrEx>
        <w:trPr>
          <w:trHeight w:val="454" w:hRule="atLeast"/>
          <w:jc w:val="center"/>
        </w:trPr>
        <w:tc>
          <w:tcPr>
            <w:tcW w:w="286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江西于都农村商业银行股份有限公司</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1528.95  </w:t>
            </w:r>
          </w:p>
        </w:tc>
        <w:tc>
          <w:tcPr>
            <w:tcW w:w="15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15.29 </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1544.24 </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9.98 </w:t>
            </w:r>
          </w:p>
        </w:tc>
      </w:tr>
      <w:tr>
        <w:tblPrEx>
          <w:tblLayout w:type="fixed"/>
          <w:tblCellMar>
            <w:top w:w="0" w:type="dxa"/>
            <w:left w:w="108" w:type="dxa"/>
            <w:bottom w:w="0" w:type="dxa"/>
            <w:right w:w="108" w:type="dxa"/>
          </w:tblCellMar>
        </w:tblPrEx>
        <w:trPr>
          <w:trHeight w:val="454" w:hRule="atLeast"/>
          <w:jc w:val="center"/>
        </w:trPr>
        <w:tc>
          <w:tcPr>
            <w:tcW w:w="286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江西兴国农村商业银行股份有限公司</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384.73 </w:t>
            </w:r>
          </w:p>
        </w:tc>
        <w:tc>
          <w:tcPr>
            <w:tcW w:w="15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3.85 </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388.58 </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2.51 </w:t>
            </w:r>
          </w:p>
        </w:tc>
      </w:tr>
      <w:tr>
        <w:tblPrEx>
          <w:tblLayout w:type="fixed"/>
          <w:tblCellMar>
            <w:top w:w="0" w:type="dxa"/>
            <w:left w:w="108" w:type="dxa"/>
            <w:bottom w:w="0" w:type="dxa"/>
            <w:right w:w="108" w:type="dxa"/>
          </w:tblCellMar>
        </w:tblPrEx>
        <w:trPr>
          <w:trHeight w:val="454" w:hRule="atLeast"/>
          <w:jc w:val="center"/>
        </w:trPr>
        <w:tc>
          <w:tcPr>
            <w:tcW w:w="2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江西天颂建筑工程有限公司</w:t>
            </w:r>
          </w:p>
        </w:tc>
        <w:tc>
          <w:tcPr>
            <w:tcW w:w="15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183.98</w:t>
            </w:r>
          </w:p>
        </w:tc>
        <w:tc>
          <w:tcPr>
            <w:tcW w:w="15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1.84</w:t>
            </w:r>
          </w:p>
        </w:tc>
        <w:tc>
          <w:tcPr>
            <w:tcW w:w="15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185.82</w:t>
            </w:r>
          </w:p>
        </w:tc>
        <w:tc>
          <w:tcPr>
            <w:tcW w:w="15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1.20 </w:t>
            </w:r>
          </w:p>
        </w:tc>
      </w:tr>
      <w:tr>
        <w:tblPrEx>
          <w:tblLayout w:type="fixed"/>
          <w:tblCellMar>
            <w:top w:w="0" w:type="dxa"/>
            <w:left w:w="108" w:type="dxa"/>
            <w:bottom w:w="0" w:type="dxa"/>
            <w:right w:w="108" w:type="dxa"/>
          </w:tblCellMar>
        </w:tblPrEx>
        <w:trPr>
          <w:trHeight w:val="454" w:hRule="atLeast"/>
          <w:jc w:val="center"/>
        </w:trPr>
        <w:tc>
          <w:tcPr>
            <w:tcW w:w="286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谢慧琳</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167.26 </w:t>
            </w:r>
          </w:p>
        </w:tc>
        <w:tc>
          <w:tcPr>
            <w:tcW w:w="15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1.67 </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168.93</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1.09 </w:t>
            </w:r>
          </w:p>
        </w:tc>
      </w:tr>
      <w:tr>
        <w:tblPrEx>
          <w:tblLayout w:type="fixed"/>
          <w:tblCellMar>
            <w:top w:w="0" w:type="dxa"/>
            <w:left w:w="108" w:type="dxa"/>
            <w:bottom w:w="0" w:type="dxa"/>
            <w:right w:w="108" w:type="dxa"/>
          </w:tblCellMar>
        </w:tblPrEx>
        <w:trPr>
          <w:trHeight w:val="454" w:hRule="atLeast"/>
          <w:jc w:val="center"/>
        </w:trPr>
        <w:tc>
          <w:tcPr>
            <w:tcW w:w="286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严稽林</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128.45 </w:t>
            </w:r>
          </w:p>
        </w:tc>
        <w:tc>
          <w:tcPr>
            <w:tcW w:w="15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1.28 </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129.74 </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0.84 </w:t>
            </w:r>
          </w:p>
        </w:tc>
      </w:tr>
      <w:tr>
        <w:tblPrEx>
          <w:tblLayout w:type="fixed"/>
          <w:tblCellMar>
            <w:top w:w="0" w:type="dxa"/>
            <w:left w:w="108" w:type="dxa"/>
            <w:bottom w:w="0" w:type="dxa"/>
            <w:right w:w="108" w:type="dxa"/>
          </w:tblCellMar>
        </w:tblPrEx>
        <w:trPr>
          <w:trHeight w:val="454" w:hRule="atLeast"/>
          <w:jc w:val="center"/>
        </w:trPr>
        <w:tc>
          <w:tcPr>
            <w:tcW w:w="286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黄新</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127.87 </w:t>
            </w:r>
          </w:p>
        </w:tc>
        <w:tc>
          <w:tcPr>
            <w:tcW w:w="15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1.28 </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129.15 </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0.83 </w:t>
            </w:r>
          </w:p>
        </w:tc>
      </w:tr>
      <w:tr>
        <w:tblPrEx>
          <w:tblLayout w:type="fixed"/>
          <w:tblCellMar>
            <w:top w:w="0" w:type="dxa"/>
            <w:left w:w="108" w:type="dxa"/>
            <w:bottom w:w="0" w:type="dxa"/>
            <w:right w:w="108" w:type="dxa"/>
          </w:tblCellMar>
        </w:tblPrEx>
        <w:trPr>
          <w:trHeight w:val="454" w:hRule="atLeast"/>
          <w:jc w:val="center"/>
        </w:trPr>
        <w:tc>
          <w:tcPr>
            <w:tcW w:w="286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钟开祥</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124.89 </w:t>
            </w:r>
          </w:p>
        </w:tc>
        <w:tc>
          <w:tcPr>
            <w:tcW w:w="15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1.25 </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126.14 </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0.82 </w:t>
            </w:r>
          </w:p>
        </w:tc>
      </w:tr>
      <w:tr>
        <w:tblPrEx>
          <w:tblLayout w:type="fixed"/>
          <w:tblCellMar>
            <w:top w:w="0" w:type="dxa"/>
            <w:left w:w="108" w:type="dxa"/>
            <w:bottom w:w="0" w:type="dxa"/>
            <w:right w:w="108" w:type="dxa"/>
          </w:tblCellMar>
        </w:tblPrEx>
        <w:trPr>
          <w:trHeight w:val="454" w:hRule="atLeast"/>
          <w:jc w:val="center"/>
        </w:trPr>
        <w:tc>
          <w:tcPr>
            <w:tcW w:w="2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廖海燕</w:t>
            </w:r>
          </w:p>
        </w:tc>
        <w:tc>
          <w:tcPr>
            <w:tcW w:w="15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6.69 </w:t>
            </w:r>
          </w:p>
        </w:tc>
        <w:tc>
          <w:tcPr>
            <w:tcW w:w="15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108 </w:t>
            </w:r>
          </w:p>
        </w:tc>
        <w:tc>
          <w:tcPr>
            <w:tcW w:w="15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114.69 </w:t>
            </w:r>
          </w:p>
        </w:tc>
        <w:tc>
          <w:tcPr>
            <w:tcW w:w="15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0.74 </w:t>
            </w:r>
          </w:p>
        </w:tc>
      </w:tr>
      <w:tr>
        <w:tblPrEx>
          <w:tblLayout w:type="fixed"/>
          <w:tblCellMar>
            <w:top w:w="0" w:type="dxa"/>
            <w:left w:w="108" w:type="dxa"/>
            <w:bottom w:w="0" w:type="dxa"/>
            <w:right w:w="108" w:type="dxa"/>
          </w:tblCellMar>
        </w:tblPrEx>
        <w:trPr>
          <w:trHeight w:val="454" w:hRule="atLeast"/>
          <w:jc w:val="center"/>
        </w:trPr>
        <w:tc>
          <w:tcPr>
            <w:tcW w:w="286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李文艳</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105.39 </w:t>
            </w:r>
          </w:p>
        </w:tc>
        <w:tc>
          <w:tcPr>
            <w:tcW w:w="15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1.05 </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106.44 </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0.69 </w:t>
            </w:r>
          </w:p>
        </w:tc>
      </w:tr>
      <w:tr>
        <w:tblPrEx>
          <w:tblLayout w:type="fixed"/>
          <w:tblCellMar>
            <w:top w:w="0" w:type="dxa"/>
            <w:left w:w="108" w:type="dxa"/>
            <w:bottom w:w="0" w:type="dxa"/>
            <w:right w:w="108" w:type="dxa"/>
          </w:tblCellMar>
        </w:tblPrEx>
        <w:trPr>
          <w:trHeight w:val="454" w:hRule="atLeast"/>
          <w:jc w:val="center"/>
        </w:trPr>
        <w:tc>
          <w:tcPr>
            <w:tcW w:w="286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刘宏英</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105.28 </w:t>
            </w:r>
          </w:p>
        </w:tc>
        <w:tc>
          <w:tcPr>
            <w:tcW w:w="15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1.05 </w:t>
            </w:r>
          </w:p>
        </w:tc>
        <w:tc>
          <w:tcPr>
            <w:tcW w:w="15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106.33 </w:t>
            </w:r>
          </w:p>
        </w:tc>
        <w:tc>
          <w:tcPr>
            <w:tcW w:w="15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0.69 </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4.报告期末主要股东及其控股股东、实际控制人、关联方、一致行动人、最终受益人情况</w:t>
      </w:r>
    </w:p>
    <w:tbl>
      <w:tblPr>
        <w:tblStyle w:val="14"/>
        <w:tblW w:w="9058" w:type="dxa"/>
        <w:jc w:val="center"/>
        <w:tblInd w:w="0" w:type="dxa"/>
        <w:tblLayout w:type="fixed"/>
        <w:tblCellMar>
          <w:top w:w="0" w:type="dxa"/>
          <w:left w:w="108" w:type="dxa"/>
          <w:bottom w:w="0" w:type="dxa"/>
          <w:right w:w="108" w:type="dxa"/>
        </w:tblCellMar>
      </w:tblPr>
      <w:tblGrid>
        <w:gridCol w:w="3759"/>
        <w:gridCol w:w="1753"/>
        <w:gridCol w:w="3546"/>
      </w:tblGrid>
      <w:tr>
        <w:tblPrEx>
          <w:tblLayout w:type="fixed"/>
          <w:tblCellMar>
            <w:top w:w="0" w:type="dxa"/>
            <w:left w:w="108" w:type="dxa"/>
            <w:bottom w:w="0" w:type="dxa"/>
            <w:right w:w="108" w:type="dxa"/>
          </w:tblCellMar>
        </w:tblPrEx>
        <w:trPr>
          <w:trHeight w:val="657" w:hRule="atLeast"/>
          <w:jc w:val="center"/>
        </w:trPr>
        <w:tc>
          <w:tcPr>
            <w:tcW w:w="3759" w:type="dxa"/>
            <w:tcBorders>
              <w:top w:val="nil"/>
              <w:left w:val="nil"/>
              <w:bottom w:val="nil"/>
              <w:right w:val="nil"/>
            </w:tcBorders>
            <w:vAlign w:val="center"/>
          </w:tcPr>
          <w:p>
            <w:pPr>
              <w:keepNext w:val="0"/>
              <w:keepLines w:val="0"/>
              <w:pageBreakBefore w:val="0"/>
              <w:widowControl/>
              <w:kinsoku/>
              <w:overflowPunct/>
              <w:topLinePunct w:val="0"/>
              <w:bidi w:val="0"/>
              <w:spacing w:line="560" w:lineRule="exact"/>
              <w:ind w:left="0" w:leftChars="0" w:right="0" w:firstLine="640" w:firstLineChars="200"/>
              <w:rPr>
                <w:rFonts w:hint="eastAsia" w:ascii="仿宋_GB2312" w:hAnsi="仿宋_GB2312" w:eastAsia="仿宋_GB2312" w:cs="仿宋_GB2312"/>
                <w:color w:val="auto"/>
                <w:kern w:val="0"/>
                <w:sz w:val="32"/>
                <w:szCs w:val="32"/>
                <w:highlight w:val="none"/>
              </w:rPr>
            </w:pPr>
          </w:p>
        </w:tc>
        <w:tc>
          <w:tcPr>
            <w:tcW w:w="1753" w:type="dxa"/>
            <w:tcBorders>
              <w:top w:val="nil"/>
              <w:left w:val="nil"/>
              <w:bottom w:val="nil"/>
              <w:right w:val="nil"/>
            </w:tcBorders>
            <w:vAlign w:val="center"/>
          </w:tcPr>
          <w:p>
            <w:pPr>
              <w:keepNext w:val="0"/>
              <w:keepLines w:val="0"/>
              <w:pageBreakBefore w:val="0"/>
              <w:widowControl/>
              <w:kinsoku/>
              <w:overflowPunct/>
              <w:topLinePunct w:val="0"/>
              <w:bidi w:val="0"/>
              <w:spacing w:line="560" w:lineRule="exact"/>
              <w:ind w:left="0" w:leftChars="0" w:right="0" w:firstLine="640" w:firstLineChars="200"/>
              <w:rPr>
                <w:rFonts w:hint="eastAsia" w:ascii="仿宋_GB2312" w:hAnsi="仿宋_GB2312" w:eastAsia="仿宋_GB2312" w:cs="仿宋_GB2312"/>
                <w:color w:val="auto"/>
                <w:kern w:val="0"/>
                <w:sz w:val="32"/>
                <w:szCs w:val="32"/>
                <w:highlight w:val="none"/>
              </w:rPr>
            </w:pPr>
          </w:p>
        </w:tc>
        <w:tc>
          <w:tcPr>
            <w:tcW w:w="3546" w:type="dxa"/>
            <w:tcBorders>
              <w:top w:val="nil"/>
              <w:left w:val="nil"/>
              <w:bottom w:val="nil"/>
              <w:right w:val="nil"/>
            </w:tcBorders>
            <w:vAlign w:val="center"/>
          </w:tcPr>
          <w:p>
            <w:pPr>
              <w:keepNext w:val="0"/>
              <w:keepLines w:val="0"/>
              <w:pageBreakBefore w:val="0"/>
              <w:widowControl/>
              <w:kinsoku/>
              <w:overflowPunct/>
              <w:topLinePunct w:val="0"/>
              <w:bidi w:val="0"/>
              <w:spacing w:line="560" w:lineRule="exact"/>
              <w:ind w:left="0" w:leftChars="0" w:right="0" w:firstLine="640" w:firstLineChars="200"/>
              <w:jc w:val="righ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单位：万股</w:t>
            </w:r>
          </w:p>
        </w:tc>
      </w:tr>
      <w:tr>
        <w:tblPrEx>
          <w:tblLayout w:type="fixed"/>
          <w:tblCellMar>
            <w:top w:w="0" w:type="dxa"/>
            <w:left w:w="108" w:type="dxa"/>
            <w:bottom w:w="0" w:type="dxa"/>
            <w:right w:w="108" w:type="dxa"/>
          </w:tblCellMar>
        </w:tblPrEx>
        <w:trPr>
          <w:trHeight w:val="763" w:hRule="atLeast"/>
          <w:jc w:val="center"/>
        </w:trPr>
        <w:tc>
          <w:tcPr>
            <w:tcW w:w="3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主要股东</w:t>
            </w:r>
          </w:p>
        </w:tc>
        <w:tc>
          <w:tcPr>
            <w:tcW w:w="17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持股份额</w:t>
            </w:r>
          </w:p>
        </w:tc>
        <w:tc>
          <w:tcPr>
            <w:tcW w:w="354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实际控制人</w:t>
            </w:r>
          </w:p>
        </w:tc>
      </w:tr>
      <w:tr>
        <w:tblPrEx>
          <w:tblLayout w:type="fixed"/>
          <w:tblCellMar>
            <w:top w:w="0" w:type="dxa"/>
            <w:left w:w="108" w:type="dxa"/>
            <w:bottom w:w="0" w:type="dxa"/>
            <w:right w:w="108" w:type="dxa"/>
          </w:tblCellMar>
        </w:tblPrEx>
        <w:trPr>
          <w:trHeight w:val="614" w:hRule="atLeast"/>
          <w:jc w:val="center"/>
        </w:trPr>
        <w:tc>
          <w:tcPr>
            <w:tcW w:w="375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江西于都农村商业银行股份有限公司</w:t>
            </w:r>
          </w:p>
        </w:tc>
        <w:tc>
          <w:tcPr>
            <w:tcW w:w="175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1544.24 </w:t>
            </w:r>
          </w:p>
        </w:tc>
        <w:tc>
          <w:tcPr>
            <w:tcW w:w="354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江西于都农村商业银行股份有限公司</w:t>
            </w:r>
          </w:p>
        </w:tc>
      </w:tr>
      <w:tr>
        <w:tblPrEx>
          <w:tblLayout w:type="fixed"/>
          <w:tblCellMar>
            <w:top w:w="0" w:type="dxa"/>
            <w:left w:w="108" w:type="dxa"/>
            <w:bottom w:w="0" w:type="dxa"/>
            <w:right w:w="108" w:type="dxa"/>
          </w:tblCellMar>
        </w:tblPrEx>
        <w:trPr>
          <w:trHeight w:val="567" w:hRule="atLeast"/>
          <w:jc w:val="center"/>
        </w:trPr>
        <w:tc>
          <w:tcPr>
            <w:tcW w:w="3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江西兴国农村商业银行股份有限公司</w:t>
            </w:r>
          </w:p>
        </w:tc>
        <w:tc>
          <w:tcPr>
            <w:tcW w:w="17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388.58 </w:t>
            </w:r>
          </w:p>
        </w:tc>
        <w:tc>
          <w:tcPr>
            <w:tcW w:w="354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江西兴国农村商业银行股份有限公司</w:t>
            </w:r>
          </w:p>
        </w:tc>
      </w:tr>
      <w:tr>
        <w:tblPrEx>
          <w:tblLayout w:type="fixed"/>
          <w:tblCellMar>
            <w:top w:w="0" w:type="dxa"/>
            <w:left w:w="108" w:type="dxa"/>
            <w:bottom w:w="0" w:type="dxa"/>
            <w:right w:w="108" w:type="dxa"/>
          </w:tblCellMar>
        </w:tblPrEx>
        <w:trPr>
          <w:trHeight w:val="608" w:hRule="atLeast"/>
          <w:jc w:val="center"/>
        </w:trPr>
        <w:tc>
          <w:tcPr>
            <w:tcW w:w="3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赵宽</w:t>
            </w:r>
          </w:p>
        </w:tc>
        <w:tc>
          <w:tcPr>
            <w:tcW w:w="17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9.88 </w:t>
            </w:r>
          </w:p>
        </w:tc>
        <w:tc>
          <w:tcPr>
            <w:tcW w:w="354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赵宽</w:t>
            </w:r>
          </w:p>
        </w:tc>
      </w:tr>
      <w:tr>
        <w:tblPrEx>
          <w:tblLayout w:type="fixed"/>
          <w:tblCellMar>
            <w:top w:w="0" w:type="dxa"/>
            <w:left w:w="108" w:type="dxa"/>
            <w:bottom w:w="0" w:type="dxa"/>
            <w:right w:w="108" w:type="dxa"/>
          </w:tblCellMar>
        </w:tblPrEx>
        <w:trPr>
          <w:trHeight w:val="608" w:hRule="atLeast"/>
          <w:jc w:val="center"/>
        </w:trPr>
        <w:tc>
          <w:tcPr>
            <w:tcW w:w="3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赖建平</w:t>
            </w:r>
          </w:p>
        </w:tc>
        <w:tc>
          <w:tcPr>
            <w:tcW w:w="17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15.35 </w:t>
            </w:r>
          </w:p>
        </w:tc>
        <w:tc>
          <w:tcPr>
            <w:tcW w:w="354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赖建平</w:t>
            </w:r>
          </w:p>
        </w:tc>
      </w:tr>
      <w:tr>
        <w:tblPrEx>
          <w:tblLayout w:type="fixed"/>
          <w:tblCellMar>
            <w:top w:w="0" w:type="dxa"/>
            <w:left w:w="108" w:type="dxa"/>
            <w:bottom w:w="0" w:type="dxa"/>
            <w:right w:w="108" w:type="dxa"/>
          </w:tblCellMar>
        </w:tblPrEx>
        <w:trPr>
          <w:trHeight w:val="608" w:hRule="atLeast"/>
          <w:jc w:val="center"/>
        </w:trPr>
        <w:tc>
          <w:tcPr>
            <w:tcW w:w="3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罗京城</w:t>
            </w:r>
          </w:p>
        </w:tc>
        <w:tc>
          <w:tcPr>
            <w:tcW w:w="17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1.34 </w:t>
            </w:r>
          </w:p>
        </w:tc>
        <w:tc>
          <w:tcPr>
            <w:tcW w:w="354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罗京城</w:t>
            </w:r>
          </w:p>
        </w:tc>
      </w:tr>
      <w:tr>
        <w:tblPrEx>
          <w:tblLayout w:type="fixed"/>
          <w:tblCellMar>
            <w:top w:w="0" w:type="dxa"/>
            <w:left w:w="108" w:type="dxa"/>
            <w:bottom w:w="0" w:type="dxa"/>
            <w:right w:w="108" w:type="dxa"/>
          </w:tblCellMar>
        </w:tblPrEx>
        <w:trPr>
          <w:trHeight w:val="608" w:hRule="atLeast"/>
          <w:jc w:val="center"/>
        </w:trPr>
        <w:tc>
          <w:tcPr>
            <w:tcW w:w="3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严艳娟</w:t>
            </w:r>
          </w:p>
        </w:tc>
        <w:tc>
          <w:tcPr>
            <w:tcW w:w="17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51.56 </w:t>
            </w:r>
          </w:p>
        </w:tc>
        <w:tc>
          <w:tcPr>
            <w:tcW w:w="354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严艳娟</w:t>
            </w:r>
          </w:p>
        </w:tc>
      </w:tr>
      <w:tr>
        <w:tblPrEx>
          <w:tblLayout w:type="fixed"/>
          <w:tblCellMar>
            <w:top w:w="0" w:type="dxa"/>
            <w:left w:w="108" w:type="dxa"/>
            <w:bottom w:w="0" w:type="dxa"/>
            <w:right w:w="108" w:type="dxa"/>
          </w:tblCellMar>
        </w:tblPrEx>
        <w:trPr>
          <w:trHeight w:val="630" w:hRule="atLeast"/>
          <w:jc w:val="center"/>
        </w:trPr>
        <w:tc>
          <w:tcPr>
            <w:tcW w:w="3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林艳阳</w:t>
            </w:r>
          </w:p>
        </w:tc>
        <w:tc>
          <w:tcPr>
            <w:tcW w:w="17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2.14 </w:t>
            </w:r>
          </w:p>
        </w:tc>
        <w:tc>
          <w:tcPr>
            <w:tcW w:w="354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林艳阳</w:t>
            </w:r>
          </w:p>
        </w:tc>
      </w:tr>
      <w:tr>
        <w:tblPrEx>
          <w:tblLayout w:type="fixed"/>
          <w:tblCellMar>
            <w:top w:w="0" w:type="dxa"/>
            <w:left w:w="108" w:type="dxa"/>
            <w:bottom w:w="0" w:type="dxa"/>
            <w:right w:w="108" w:type="dxa"/>
          </w:tblCellMar>
        </w:tblPrEx>
        <w:trPr>
          <w:trHeight w:val="630" w:hRule="atLeast"/>
          <w:jc w:val="center"/>
        </w:trPr>
        <w:tc>
          <w:tcPr>
            <w:tcW w:w="3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潘彧</w:t>
            </w:r>
          </w:p>
        </w:tc>
        <w:tc>
          <w:tcPr>
            <w:tcW w:w="175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8.45 </w:t>
            </w:r>
          </w:p>
        </w:tc>
        <w:tc>
          <w:tcPr>
            <w:tcW w:w="354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潘彧</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5.报告期内与主要股东及其控股股东、实际控制人、关联方、一致行动人、最终受益人关联交易情况</w:t>
      </w:r>
    </w:p>
    <w:p>
      <w:pPr>
        <w:pStyle w:val="5"/>
        <w:ind w:left="0" w:leftChars="0" w:firstLine="0" w:firstLineChars="0"/>
        <w:jc w:val="righ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单位：万元</w:t>
      </w:r>
    </w:p>
    <w:tbl>
      <w:tblPr>
        <w:tblStyle w:val="14"/>
        <w:tblW w:w="9119" w:type="dxa"/>
        <w:jc w:val="center"/>
        <w:tblInd w:w="0" w:type="dxa"/>
        <w:tblLayout w:type="fixed"/>
        <w:tblCellMar>
          <w:top w:w="0" w:type="dxa"/>
          <w:left w:w="108" w:type="dxa"/>
          <w:bottom w:w="0" w:type="dxa"/>
          <w:right w:w="108" w:type="dxa"/>
        </w:tblCellMar>
      </w:tblPr>
      <w:tblGrid>
        <w:gridCol w:w="3190"/>
        <w:gridCol w:w="3907"/>
        <w:gridCol w:w="2022"/>
      </w:tblGrid>
      <w:tr>
        <w:tblPrEx>
          <w:tblLayout w:type="fixed"/>
          <w:tblCellMar>
            <w:top w:w="0" w:type="dxa"/>
            <w:left w:w="108" w:type="dxa"/>
            <w:bottom w:w="0" w:type="dxa"/>
            <w:right w:w="108" w:type="dxa"/>
          </w:tblCellMar>
        </w:tblPrEx>
        <w:trPr>
          <w:trHeight w:val="1556" w:hRule="atLeast"/>
          <w:jc w:val="center"/>
        </w:trPr>
        <w:tc>
          <w:tcPr>
            <w:tcW w:w="31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主要股东</w:t>
            </w:r>
          </w:p>
        </w:tc>
        <w:tc>
          <w:tcPr>
            <w:tcW w:w="39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对该主要股东</w:t>
            </w:r>
            <w:r>
              <w:rPr>
                <w:rFonts w:hint="eastAsia" w:ascii="仿宋_GB2312" w:hAnsi="仿宋_GB2312" w:eastAsia="仿宋_GB2312" w:cs="仿宋_GB2312"/>
                <w:b/>
                <w:bCs/>
                <w:color w:val="auto"/>
                <w:sz w:val="32"/>
                <w:szCs w:val="32"/>
                <w:highlight w:val="none"/>
                <w:lang w:val="en-US" w:eastAsia="zh-CN"/>
              </w:rPr>
              <w:t>及其控股股东、实际控制人、关联方、一致行动人、最终受益人</w:t>
            </w:r>
            <w:r>
              <w:rPr>
                <w:rFonts w:hint="eastAsia" w:ascii="仿宋_GB2312" w:hAnsi="仿宋_GB2312" w:eastAsia="仿宋_GB2312" w:cs="仿宋_GB2312"/>
                <w:b/>
                <w:bCs/>
                <w:color w:val="auto"/>
                <w:kern w:val="0"/>
                <w:sz w:val="28"/>
                <w:szCs w:val="28"/>
                <w:highlight w:val="none"/>
              </w:rPr>
              <w:t>单个主体的最高授信</w:t>
            </w:r>
            <w:r>
              <w:rPr>
                <w:rFonts w:hint="default" w:ascii="仿宋_GB2312" w:hAnsi="仿宋_GB2312" w:eastAsia="仿宋_GB2312" w:cs="仿宋_GB2312"/>
                <w:b/>
                <w:bCs/>
                <w:color w:val="auto"/>
                <w:kern w:val="0"/>
                <w:sz w:val="28"/>
                <w:szCs w:val="28"/>
                <w:highlight w:val="none"/>
              </w:rPr>
              <w:t>金额</w:t>
            </w:r>
          </w:p>
        </w:tc>
        <w:tc>
          <w:tcPr>
            <w:tcW w:w="202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对该主要股东</w:t>
            </w:r>
            <w:r>
              <w:rPr>
                <w:rFonts w:hint="eastAsia" w:ascii="仿宋_GB2312" w:hAnsi="仿宋_GB2312" w:eastAsia="仿宋_GB2312" w:cs="仿宋_GB2312"/>
                <w:b/>
                <w:bCs/>
                <w:color w:val="auto"/>
                <w:sz w:val="32"/>
                <w:szCs w:val="32"/>
                <w:highlight w:val="none"/>
                <w:lang w:val="en-US" w:eastAsia="zh-CN"/>
              </w:rPr>
              <w:t>及其控股股东、实际控制人、关联方、一致行动人、最终受益人</w:t>
            </w:r>
            <w:r>
              <w:rPr>
                <w:rFonts w:hint="eastAsia" w:ascii="仿宋_GB2312" w:hAnsi="仿宋_GB2312" w:eastAsia="仿宋_GB2312" w:cs="仿宋_GB2312"/>
                <w:b/>
                <w:bCs/>
                <w:color w:val="auto"/>
                <w:kern w:val="0"/>
                <w:sz w:val="28"/>
                <w:szCs w:val="28"/>
                <w:highlight w:val="none"/>
              </w:rPr>
              <w:t>合计授信</w:t>
            </w:r>
            <w:r>
              <w:rPr>
                <w:rFonts w:hint="default" w:ascii="仿宋_GB2312" w:hAnsi="仿宋_GB2312" w:eastAsia="仿宋_GB2312" w:cs="仿宋_GB2312"/>
                <w:b/>
                <w:bCs/>
                <w:color w:val="auto"/>
                <w:kern w:val="0"/>
                <w:sz w:val="28"/>
                <w:szCs w:val="28"/>
                <w:highlight w:val="none"/>
              </w:rPr>
              <w:t>金额</w:t>
            </w:r>
          </w:p>
        </w:tc>
      </w:tr>
      <w:tr>
        <w:tblPrEx>
          <w:tblLayout w:type="fixed"/>
          <w:tblCellMar>
            <w:top w:w="0" w:type="dxa"/>
            <w:left w:w="108" w:type="dxa"/>
            <w:bottom w:w="0" w:type="dxa"/>
            <w:right w:w="108" w:type="dxa"/>
          </w:tblCellMar>
        </w:tblPrEx>
        <w:trPr>
          <w:trHeight w:val="518" w:hRule="atLeast"/>
          <w:jc w:val="center"/>
        </w:trPr>
        <w:tc>
          <w:tcPr>
            <w:tcW w:w="319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江西于都农村商业银行股份有限公司</w:t>
            </w:r>
          </w:p>
        </w:tc>
        <w:tc>
          <w:tcPr>
            <w:tcW w:w="390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30</w:t>
            </w:r>
          </w:p>
        </w:tc>
        <w:tc>
          <w:tcPr>
            <w:tcW w:w="20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30</w:t>
            </w:r>
          </w:p>
        </w:tc>
      </w:tr>
      <w:tr>
        <w:tblPrEx>
          <w:tblLayout w:type="fixed"/>
          <w:tblCellMar>
            <w:top w:w="0" w:type="dxa"/>
            <w:left w:w="108" w:type="dxa"/>
            <w:bottom w:w="0" w:type="dxa"/>
            <w:right w:w="108" w:type="dxa"/>
          </w:tblCellMar>
        </w:tblPrEx>
        <w:trPr>
          <w:trHeight w:val="576" w:hRule="atLeast"/>
          <w:jc w:val="center"/>
        </w:trPr>
        <w:tc>
          <w:tcPr>
            <w:tcW w:w="31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江西兴国农村商业银行股份有限公司</w:t>
            </w:r>
          </w:p>
        </w:tc>
        <w:tc>
          <w:tcPr>
            <w:tcW w:w="3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r>
      <w:tr>
        <w:tblPrEx>
          <w:tblLayout w:type="fixed"/>
          <w:tblCellMar>
            <w:top w:w="0" w:type="dxa"/>
            <w:left w:w="108" w:type="dxa"/>
            <w:bottom w:w="0" w:type="dxa"/>
            <w:right w:w="108" w:type="dxa"/>
          </w:tblCellMar>
        </w:tblPrEx>
        <w:trPr>
          <w:trHeight w:val="627" w:hRule="atLeast"/>
          <w:jc w:val="center"/>
        </w:trPr>
        <w:tc>
          <w:tcPr>
            <w:tcW w:w="31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赵宽</w:t>
            </w:r>
          </w:p>
        </w:tc>
        <w:tc>
          <w:tcPr>
            <w:tcW w:w="3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67</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67</w:t>
            </w:r>
          </w:p>
        </w:tc>
      </w:tr>
      <w:tr>
        <w:tblPrEx>
          <w:tblLayout w:type="fixed"/>
          <w:tblCellMar>
            <w:top w:w="0" w:type="dxa"/>
            <w:left w:w="108" w:type="dxa"/>
            <w:bottom w:w="0" w:type="dxa"/>
            <w:right w:w="108" w:type="dxa"/>
          </w:tblCellMar>
        </w:tblPrEx>
        <w:trPr>
          <w:trHeight w:val="627" w:hRule="atLeast"/>
          <w:jc w:val="center"/>
        </w:trPr>
        <w:tc>
          <w:tcPr>
            <w:tcW w:w="31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赖建平</w:t>
            </w:r>
          </w:p>
        </w:tc>
        <w:tc>
          <w:tcPr>
            <w:tcW w:w="3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45</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81</w:t>
            </w:r>
          </w:p>
        </w:tc>
      </w:tr>
      <w:tr>
        <w:tblPrEx>
          <w:tblLayout w:type="fixed"/>
          <w:tblCellMar>
            <w:top w:w="0" w:type="dxa"/>
            <w:left w:w="108" w:type="dxa"/>
            <w:bottom w:w="0" w:type="dxa"/>
            <w:right w:w="108" w:type="dxa"/>
          </w:tblCellMar>
        </w:tblPrEx>
        <w:trPr>
          <w:trHeight w:val="627" w:hRule="atLeast"/>
          <w:jc w:val="center"/>
        </w:trPr>
        <w:tc>
          <w:tcPr>
            <w:tcW w:w="31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罗京城</w:t>
            </w:r>
          </w:p>
        </w:tc>
        <w:tc>
          <w:tcPr>
            <w:tcW w:w="3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50</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50</w:t>
            </w:r>
          </w:p>
        </w:tc>
      </w:tr>
      <w:tr>
        <w:tblPrEx>
          <w:tblLayout w:type="fixed"/>
          <w:tblCellMar>
            <w:top w:w="0" w:type="dxa"/>
            <w:left w:w="108" w:type="dxa"/>
            <w:bottom w:w="0" w:type="dxa"/>
            <w:right w:w="108" w:type="dxa"/>
          </w:tblCellMar>
        </w:tblPrEx>
        <w:trPr>
          <w:trHeight w:val="627" w:hRule="atLeast"/>
          <w:jc w:val="center"/>
        </w:trPr>
        <w:tc>
          <w:tcPr>
            <w:tcW w:w="31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严艳娟</w:t>
            </w:r>
          </w:p>
        </w:tc>
        <w:tc>
          <w:tcPr>
            <w:tcW w:w="3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200</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203.66</w:t>
            </w:r>
          </w:p>
        </w:tc>
      </w:tr>
      <w:tr>
        <w:tblPrEx>
          <w:tblLayout w:type="fixed"/>
          <w:tblCellMar>
            <w:top w:w="0" w:type="dxa"/>
            <w:left w:w="108" w:type="dxa"/>
            <w:bottom w:w="0" w:type="dxa"/>
            <w:right w:w="108" w:type="dxa"/>
          </w:tblCellMar>
        </w:tblPrEx>
        <w:trPr>
          <w:trHeight w:val="627" w:hRule="atLeast"/>
          <w:jc w:val="center"/>
        </w:trPr>
        <w:tc>
          <w:tcPr>
            <w:tcW w:w="31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林艳阳</w:t>
            </w:r>
          </w:p>
        </w:tc>
        <w:tc>
          <w:tcPr>
            <w:tcW w:w="3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44</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85.5</w:t>
            </w:r>
          </w:p>
        </w:tc>
      </w:tr>
      <w:tr>
        <w:tblPrEx>
          <w:tblLayout w:type="fixed"/>
          <w:tblCellMar>
            <w:top w:w="0" w:type="dxa"/>
            <w:left w:w="108" w:type="dxa"/>
            <w:bottom w:w="0" w:type="dxa"/>
            <w:right w:w="108" w:type="dxa"/>
          </w:tblCellMar>
        </w:tblPrEx>
        <w:trPr>
          <w:trHeight w:val="639" w:hRule="atLeast"/>
          <w:jc w:val="center"/>
        </w:trPr>
        <w:tc>
          <w:tcPr>
            <w:tcW w:w="31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潘彧</w:t>
            </w:r>
          </w:p>
        </w:tc>
        <w:tc>
          <w:tcPr>
            <w:tcW w:w="3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36</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42.47</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6.股权出质情况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（1）股权出质基本情况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zh-CN" w:eastAsia="zh-CN"/>
        </w:rPr>
      </w:pPr>
      <w:r>
        <w:rPr>
          <w:rFonts w:hint="eastAsia" w:ascii="仿宋_GB2312" w:hAnsi="仿宋_GB2312" w:eastAsia="仿宋_GB2312" w:cs="仿宋_GB2312"/>
          <w:b w:val="0"/>
          <w:bCs w:val="0"/>
          <w:color w:val="auto"/>
          <w:sz w:val="32"/>
          <w:szCs w:val="32"/>
          <w:highlight w:val="none"/>
          <w:lang w:val="zh-CN" w:eastAsia="zh-CN"/>
        </w:rPr>
        <w:t>2025年末股东总数980个，报告期出质股东户数13户，占本行股东总户数的1.33%，已出质股金金额704.16万元，占本行股本总额的4.55%；其中以股权质押反担保方式出质户数为0户、金额0万元，在其他农商银行出质13户、金额704.16万元，无在其他银行出质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（2）主要股东出质股权情况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righ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单位：万元、%</w:t>
      </w:r>
    </w:p>
    <w:tbl>
      <w:tblPr>
        <w:tblStyle w:val="14"/>
        <w:tblW w:w="9117" w:type="dxa"/>
        <w:jc w:val="center"/>
        <w:tblInd w:w="0" w:type="dxa"/>
        <w:tblLayout w:type="fixed"/>
        <w:tblCellMar>
          <w:top w:w="0" w:type="dxa"/>
          <w:left w:w="0" w:type="dxa"/>
          <w:bottom w:w="0" w:type="dxa"/>
          <w:right w:w="0" w:type="dxa"/>
        </w:tblCellMar>
      </w:tblPr>
      <w:tblGrid>
        <w:gridCol w:w="4088"/>
        <w:gridCol w:w="1398"/>
        <w:gridCol w:w="1338"/>
        <w:gridCol w:w="2293"/>
      </w:tblGrid>
      <w:tr>
        <w:tblPrEx>
          <w:tblLayout w:type="fixed"/>
          <w:tblCellMar>
            <w:top w:w="0" w:type="dxa"/>
            <w:left w:w="0" w:type="dxa"/>
            <w:bottom w:w="0" w:type="dxa"/>
            <w:right w:w="0" w:type="dxa"/>
          </w:tblCellMar>
        </w:tblPrEx>
        <w:trPr>
          <w:trHeight w:val="23" w:hRule="atLeast"/>
          <w:jc w:val="center"/>
        </w:trPr>
        <w:tc>
          <w:tcPr>
            <w:tcW w:w="40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主要股东</w:t>
            </w:r>
          </w:p>
        </w:tc>
        <w:tc>
          <w:tcPr>
            <w:tcW w:w="139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持股份额</w:t>
            </w:r>
          </w:p>
        </w:tc>
        <w:tc>
          <w:tcPr>
            <w:tcW w:w="133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出质份额</w:t>
            </w:r>
          </w:p>
        </w:tc>
        <w:tc>
          <w:tcPr>
            <w:tcW w:w="229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出质份额占持股份额比例</w:t>
            </w:r>
          </w:p>
        </w:tc>
      </w:tr>
      <w:tr>
        <w:tblPrEx>
          <w:tblLayout w:type="fixed"/>
          <w:tblCellMar>
            <w:top w:w="0" w:type="dxa"/>
            <w:left w:w="0" w:type="dxa"/>
            <w:bottom w:w="0" w:type="dxa"/>
            <w:right w:w="0" w:type="dxa"/>
          </w:tblCellMar>
        </w:tblPrEx>
        <w:trPr>
          <w:trHeight w:val="23" w:hRule="atLeast"/>
          <w:jc w:val="center"/>
        </w:trPr>
        <w:tc>
          <w:tcPr>
            <w:tcW w:w="408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江西于都农村商业银行股份有限公司</w:t>
            </w:r>
          </w:p>
        </w:tc>
        <w:tc>
          <w:tcPr>
            <w:tcW w:w="1398"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1544.24 </w:t>
            </w:r>
          </w:p>
        </w:tc>
        <w:tc>
          <w:tcPr>
            <w:tcW w:w="1338"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c>
          <w:tcPr>
            <w:tcW w:w="2293"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r>
      <w:tr>
        <w:tblPrEx>
          <w:tblLayout w:type="fixed"/>
          <w:tblCellMar>
            <w:top w:w="0" w:type="dxa"/>
            <w:left w:w="0" w:type="dxa"/>
            <w:bottom w:w="0" w:type="dxa"/>
            <w:right w:w="0" w:type="dxa"/>
          </w:tblCellMar>
        </w:tblPrEx>
        <w:trPr>
          <w:trHeight w:val="23" w:hRule="atLeast"/>
          <w:jc w:val="center"/>
        </w:trPr>
        <w:tc>
          <w:tcPr>
            <w:tcW w:w="40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江西兴国农村商业银行股份有限公司</w:t>
            </w:r>
          </w:p>
        </w:tc>
        <w:tc>
          <w:tcPr>
            <w:tcW w:w="1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388.58 </w:t>
            </w:r>
          </w:p>
        </w:tc>
        <w:tc>
          <w:tcPr>
            <w:tcW w:w="13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c>
          <w:tcPr>
            <w:tcW w:w="22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r>
      <w:tr>
        <w:tblPrEx>
          <w:tblLayout w:type="fixed"/>
          <w:tblCellMar>
            <w:top w:w="0" w:type="dxa"/>
            <w:left w:w="0" w:type="dxa"/>
            <w:bottom w:w="0" w:type="dxa"/>
            <w:right w:w="0" w:type="dxa"/>
          </w:tblCellMar>
        </w:tblPrEx>
        <w:trPr>
          <w:trHeight w:val="23" w:hRule="atLeast"/>
          <w:jc w:val="center"/>
        </w:trPr>
        <w:tc>
          <w:tcPr>
            <w:tcW w:w="40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赵宽</w:t>
            </w:r>
          </w:p>
        </w:tc>
        <w:tc>
          <w:tcPr>
            <w:tcW w:w="1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9.88</w:t>
            </w:r>
          </w:p>
        </w:tc>
        <w:tc>
          <w:tcPr>
            <w:tcW w:w="13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c>
          <w:tcPr>
            <w:tcW w:w="22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r>
      <w:tr>
        <w:tblPrEx>
          <w:tblLayout w:type="fixed"/>
          <w:tblCellMar>
            <w:top w:w="0" w:type="dxa"/>
            <w:left w:w="0" w:type="dxa"/>
            <w:bottom w:w="0" w:type="dxa"/>
            <w:right w:w="0" w:type="dxa"/>
          </w:tblCellMar>
        </w:tblPrEx>
        <w:trPr>
          <w:trHeight w:val="23" w:hRule="atLeast"/>
          <w:jc w:val="center"/>
        </w:trPr>
        <w:tc>
          <w:tcPr>
            <w:tcW w:w="40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赖建平</w:t>
            </w:r>
          </w:p>
        </w:tc>
        <w:tc>
          <w:tcPr>
            <w:tcW w:w="1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15.35 </w:t>
            </w:r>
          </w:p>
        </w:tc>
        <w:tc>
          <w:tcPr>
            <w:tcW w:w="13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c>
          <w:tcPr>
            <w:tcW w:w="22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r>
      <w:tr>
        <w:tblPrEx>
          <w:tblLayout w:type="fixed"/>
          <w:tblCellMar>
            <w:top w:w="0" w:type="dxa"/>
            <w:left w:w="0" w:type="dxa"/>
            <w:bottom w:w="0" w:type="dxa"/>
            <w:right w:w="0" w:type="dxa"/>
          </w:tblCellMar>
        </w:tblPrEx>
        <w:trPr>
          <w:trHeight w:val="23" w:hRule="atLeast"/>
          <w:jc w:val="center"/>
        </w:trPr>
        <w:tc>
          <w:tcPr>
            <w:tcW w:w="40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罗京城</w:t>
            </w:r>
          </w:p>
        </w:tc>
        <w:tc>
          <w:tcPr>
            <w:tcW w:w="1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1.34 </w:t>
            </w:r>
          </w:p>
        </w:tc>
        <w:tc>
          <w:tcPr>
            <w:tcW w:w="13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c>
          <w:tcPr>
            <w:tcW w:w="22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r>
      <w:tr>
        <w:tblPrEx>
          <w:tblLayout w:type="fixed"/>
          <w:tblCellMar>
            <w:top w:w="0" w:type="dxa"/>
            <w:left w:w="0" w:type="dxa"/>
            <w:bottom w:w="0" w:type="dxa"/>
            <w:right w:w="0" w:type="dxa"/>
          </w:tblCellMar>
        </w:tblPrEx>
        <w:trPr>
          <w:trHeight w:val="23" w:hRule="atLeast"/>
          <w:jc w:val="center"/>
        </w:trPr>
        <w:tc>
          <w:tcPr>
            <w:tcW w:w="40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严艳娟</w:t>
            </w:r>
          </w:p>
        </w:tc>
        <w:tc>
          <w:tcPr>
            <w:tcW w:w="1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51.56 </w:t>
            </w:r>
          </w:p>
        </w:tc>
        <w:tc>
          <w:tcPr>
            <w:tcW w:w="13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c>
          <w:tcPr>
            <w:tcW w:w="22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r>
      <w:tr>
        <w:tblPrEx>
          <w:tblLayout w:type="fixed"/>
          <w:tblCellMar>
            <w:top w:w="0" w:type="dxa"/>
            <w:left w:w="0" w:type="dxa"/>
            <w:bottom w:w="0" w:type="dxa"/>
            <w:right w:w="0" w:type="dxa"/>
          </w:tblCellMar>
        </w:tblPrEx>
        <w:trPr>
          <w:trHeight w:val="23" w:hRule="atLeast"/>
          <w:jc w:val="center"/>
        </w:trPr>
        <w:tc>
          <w:tcPr>
            <w:tcW w:w="40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林艳阳</w:t>
            </w:r>
          </w:p>
        </w:tc>
        <w:tc>
          <w:tcPr>
            <w:tcW w:w="1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2.14 </w:t>
            </w:r>
          </w:p>
        </w:tc>
        <w:tc>
          <w:tcPr>
            <w:tcW w:w="13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c>
          <w:tcPr>
            <w:tcW w:w="22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r>
      <w:tr>
        <w:tblPrEx>
          <w:tblLayout w:type="fixed"/>
          <w:tblCellMar>
            <w:top w:w="0" w:type="dxa"/>
            <w:left w:w="0" w:type="dxa"/>
            <w:bottom w:w="0" w:type="dxa"/>
            <w:right w:w="0" w:type="dxa"/>
          </w:tblCellMar>
        </w:tblPrEx>
        <w:trPr>
          <w:trHeight w:val="23" w:hRule="atLeast"/>
          <w:jc w:val="center"/>
        </w:trPr>
        <w:tc>
          <w:tcPr>
            <w:tcW w:w="40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潘彧</w:t>
            </w:r>
          </w:p>
        </w:tc>
        <w:tc>
          <w:tcPr>
            <w:tcW w:w="13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8.45 </w:t>
            </w:r>
          </w:p>
        </w:tc>
        <w:tc>
          <w:tcPr>
            <w:tcW w:w="13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c>
          <w:tcPr>
            <w:tcW w:w="22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0</w:t>
            </w:r>
          </w:p>
        </w:tc>
      </w:tr>
    </w:tbl>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（3）其他情况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2025年召开股东会，对已出质股权的股东表决权</w:t>
      </w:r>
      <w:r>
        <w:rPr>
          <w:rFonts w:hint="eastAsia" w:ascii="仿宋_GB2312" w:hAnsi="仿宋_GB2312" w:eastAsia="仿宋_GB2312" w:cs="仿宋_GB2312"/>
          <w:color w:val="auto"/>
          <w:sz w:val="32"/>
          <w:szCs w:val="32"/>
          <w:highlight w:val="none"/>
        </w:rPr>
        <w:t>进行限制</w:t>
      </w:r>
      <w:r>
        <w:rPr>
          <w:rFonts w:hint="eastAsia" w:ascii="仿宋_GB2312" w:hAnsi="仿宋_GB2312" w:eastAsia="仿宋_GB2312" w:cs="仿宋_GB2312"/>
          <w:color w:val="auto"/>
          <w:kern w:val="0"/>
          <w:sz w:val="32"/>
          <w:szCs w:val="32"/>
          <w:highlight w:val="none"/>
        </w:rPr>
        <w:t>；无涉及质押股权被拍卖股东。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楷体_GB2312" w:hAnsi="楷体_GB2312" w:eastAsia="楷体_GB2312" w:cs="楷体_GB2312"/>
          <w:b/>
          <w:bCs w:val="0"/>
          <w:color w:val="auto"/>
          <w:kern w:val="0"/>
          <w:sz w:val="32"/>
          <w:szCs w:val="32"/>
          <w:highlight w:val="none"/>
        </w:rPr>
      </w:pPr>
      <w:r>
        <w:rPr>
          <w:rFonts w:hint="eastAsia" w:ascii="楷体_GB2312" w:hAnsi="楷体_GB2312" w:eastAsia="楷体_GB2312" w:cs="楷体_GB2312"/>
          <w:b/>
          <w:bCs w:val="0"/>
          <w:color w:val="auto"/>
          <w:kern w:val="0"/>
          <w:sz w:val="32"/>
          <w:szCs w:val="32"/>
          <w:highlight w:val="none"/>
          <w:lang w:eastAsia="zh-CN"/>
        </w:rPr>
        <w:t>（二）</w:t>
      </w:r>
      <w:r>
        <w:rPr>
          <w:rFonts w:hint="eastAsia" w:ascii="楷体_GB2312" w:hAnsi="楷体_GB2312" w:eastAsia="楷体_GB2312" w:cs="楷体_GB2312"/>
          <w:b/>
          <w:bCs w:val="0"/>
          <w:color w:val="auto"/>
          <w:kern w:val="0"/>
          <w:sz w:val="32"/>
          <w:szCs w:val="32"/>
          <w:highlight w:val="none"/>
        </w:rPr>
        <w:t>资本充足</w:t>
      </w:r>
      <w:r>
        <w:rPr>
          <w:rFonts w:hint="eastAsia" w:ascii="楷体_GB2312" w:hAnsi="楷体_GB2312" w:eastAsia="楷体_GB2312" w:cs="楷体_GB2312"/>
          <w:b/>
          <w:bCs w:val="0"/>
          <w:color w:val="auto"/>
          <w:kern w:val="0"/>
          <w:sz w:val="32"/>
          <w:szCs w:val="32"/>
          <w:highlight w:val="none"/>
          <w:lang w:eastAsia="zh-CN"/>
        </w:rPr>
        <w:t>率相关</w:t>
      </w:r>
      <w:r>
        <w:rPr>
          <w:rFonts w:hint="eastAsia" w:ascii="楷体_GB2312" w:hAnsi="楷体_GB2312" w:eastAsia="楷体_GB2312" w:cs="楷体_GB2312"/>
          <w:b/>
          <w:bCs w:val="0"/>
          <w:color w:val="auto"/>
          <w:kern w:val="0"/>
          <w:sz w:val="32"/>
          <w:szCs w:val="32"/>
          <w:highlight w:val="none"/>
        </w:rPr>
        <w:t>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根据</w:t>
      </w:r>
      <w:r>
        <w:rPr>
          <w:rFonts w:hint="eastAsia" w:ascii="仿宋_GB2312" w:hAnsi="仿宋_GB2312" w:eastAsia="仿宋_GB2312" w:cs="仿宋_GB2312"/>
          <w:color w:val="auto"/>
          <w:sz w:val="32"/>
          <w:szCs w:val="32"/>
          <w:highlight w:val="none"/>
        </w:rPr>
        <w:t>《商业银行资本管理办法》</w:t>
      </w:r>
      <w:r>
        <w:rPr>
          <w:rFonts w:hint="eastAsia" w:ascii="仿宋_GB2312" w:hAnsi="仿宋_GB2312" w:eastAsia="仿宋_GB2312" w:cs="仿宋_GB2312"/>
          <w:color w:val="auto"/>
          <w:sz w:val="32"/>
          <w:szCs w:val="32"/>
          <w:highlight w:val="none"/>
          <w:lang w:eastAsia="zh-CN"/>
        </w:rPr>
        <w:t>（以下简称《办法》）规定，</w:t>
      </w:r>
      <w:r>
        <w:rPr>
          <w:rFonts w:hint="eastAsia" w:ascii="仿宋_GB2312" w:hAnsi="仿宋_GB2312" w:eastAsia="仿宋_GB2312" w:cs="仿宋_GB2312"/>
          <w:color w:val="auto"/>
          <w:sz w:val="32"/>
          <w:szCs w:val="32"/>
          <w:highlight w:val="none"/>
        </w:rPr>
        <w:t>本行各级资本充足率最低要求如下：核心一级资本充足率不得低于7.5%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资本充足率不得低于8.5%。</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资</w:t>
      </w:r>
      <w:r>
        <w:rPr>
          <w:rFonts w:hint="default" w:ascii="仿宋_GB2312" w:hAnsi="仿宋_GB2312" w:eastAsia="仿宋_GB2312" w:cs="仿宋_GB2312"/>
          <w:b/>
          <w:bCs/>
          <w:color w:val="auto"/>
          <w:sz w:val="32"/>
          <w:szCs w:val="32"/>
          <w:highlight w:val="none"/>
        </w:rPr>
        <w:t>本</w:t>
      </w:r>
      <w:r>
        <w:rPr>
          <w:rFonts w:hint="eastAsia" w:ascii="仿宋_GB2312" w:hAnsi="仿宋_GB2312" w:eastAsia="仿宋_GB2312" w:cs="仿宋_GB2312"/>
          <w:b/>
          <w:bCs/>
          <w:color w:val="auto"/>
          <w:sz w:val="32"/>
          <w:szCs w:val="32"/>
          <w:highlight w:val="none"/>
        </w:rPr>
        <w:t>充足率及风险资产情况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办法》规定，本行机构划分标准适用于第三档商业银行，其中信用风险采用权重法计量，操作风险采用基本指标法计量。在计量资本充足率时，采用按照第三档商业银行统一的计量方法进行资本计量。截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年12月31日，</w:t>
      </w:r>
      <w:r>
        <w:rPr>
          <w:rFonts w:hint="eastAsia" w:ascii="仿宋_GB2312" w:hAnsi="仿宋_GB2312" w:eastAsia="仿宋_GB2312" w:cs="仿宋_GB2312"/>
          <w:color w:val="auto"/>
          <w:sz w:val="32"/>
          <w:szCs w:val="32"/>
          <w:highlight w:val="none"/>
          <w:lang w:eastAsia="zh-CN"/>
        </w:rPr>
        <w:t>本行</w:t>
      </w:r>
      <w:r>
        <w:rPr>
          <w:rFonts w:hint="eastAsia" w:ascii="仿宋_GB2312" w:hAnsi="仿宋_GB2312" w:eastAsia="仿宋_GB2312" w:cs="仿宋_GB2312"/>
          <w:color w:val="auto"/>
          <w:sz w:val="32"/>
          <w:szCs w:val="32"/>
          <w:highlight w:val="none"/>
        </w:rPr>
        <w:t>核心一级资本净额</w:t>
      </w:r>
      <w:r>
        <w:rPr>
          <w:rFonts w:hint="eastAsia" w:ascii="仿宋_GB2312" w:hAnsi="仿宋_GB2312" w:eastAsia="仿宋_GB2312" w:cs="仿宋_GB2312"/>
          <w:color w:val="auto"/>
          <w:sz w:val="32"/>
          <w:szCs w:val="32"/>
          <w:highlight w:val="none"/>
          <w:lang w:val="en-US" w:eastAsia="zh-CN"/>
        </w:rPr>
        <w:t>92725.18</w:t>
      </w:r>
      <w:r>
        <w:rPr>
          <w:rFonts w:hint="eastAsia" w:ascii="仿宋_GB2312" w:hAnsi="仿宋_GB2312" w:eastAsia="仿宋_GB2312" w:cs="仿宋_GB2312"/>
          <w:color w:val="auto"/>
          <w:sz w:val="32"/>
          <w:szCs w:val="32"/>
          <w:highlight w:val="none"/>
        </w:rPr>
        <w:t>万元，资本净额</w:t>
      </w:r>
      <w:r>
        <w:rPr>
          <w:rFonts w:hint="eastAsia" w:ascii="仿宋_GB2312" w:hAnsi="仿宋_GB2312" w:eastAsia="仿宋_GB2312" w:cs="仿宋_GB2312"/>
          <w:color w:val="auto"/>
          <w:sz w:val="32"/>
          <w:szCs w:val="32"/>
          <w:highlight w:val="none"/>
          <w:lang w:val="en-US" w:eastAsia="zh-CN"/>
        </w:rPr>
        <w:t>150038.34</w:t>
      </w:r>
      <w:r>
        <w:rPr>
          <w:rFonts w:hint="eastAsia" w:ascii="仿宋_GB2312" w:hAnsi="仿宋_GB2312" w:eastAsia="仿宋_GB2312" w:cs="仿宋_GB2312"/>
          <w:color w:val="auto"/>
          <w:sz w:val="32"/>
          <w:szCs w:val="32"/>
          <w:highlight w:val="none"/>
        </w:rPr>
        <w:t>万元，风险加权资产</w:t>
      </w:r>
      <w:r>
        <w:rPr>
          <w:rFonts w:hint="eastAsia" w:ascii="仿宋_GB2312" w:hAnsi="仿宋_GB2312" w:eastAsia="仿宋_GB2312" w:cs="仿宋_GB2312"/>
          <w:color w:val="auto"/>
          <w:sz w:val="32"/>
          <w:szCs w:val="32"/>
          <w:highlight w:val="none"/>
          <w:lang w:val="en-US" w:eastAsia="zh-CN"/>
        </w:rPr>
        <w:t>625738.91</w:t>
      </w:r>
      <w:r>
        <w:rPr>
          <w:rFonts w:hint="eastAsia" w:ascii="仿宋_GB2312" w:hAnsi="仿宋_GB2312" w:eastAsia="仿宋_GB2312" w:cs="仿宋_GB2312"/>
          <w:color w:val="auto"/>
          <w:sz w:val="32"/>
          <w:szCs w:val="32"/>
          <w:highlight w:val="none"/>
        </w:rPr>
        <w:t>万元，核心一级资本充足率为</w:t>
      </w:r>
      <w:r>
        <w:rPr>
          <w:rFonts w:hint="eastAsia" w:ascii="仿宋_GB2312" w:hAnsi="仿宋_GB2312" w:eastAsia="仿宋_GB2312" w:cs="仿宋_GB2312"/>
          <w:color w:val="auto"/>
          <w:sz w:val="32"/>
          <w:szCs w:val="32"/>
          <w:highlight w:val="none"/>
          <w:lang w:val="en-US" w:eastAsia="zh-CN"/>
        </w:rPr>
        <w:t>14.82</w:t>
      </w:r>
      <w:r>
        <w:rPr>
          <w:rFonts w:hint="eastAsia" w:ascii="仿宋_GB2312" w:hAnsi="仿宋_GB2312" w:eastAsia="仿宋_GB2312" w:cs="仿宋_GB2312"/>
          <w:color w:val="auto"/>
          <w:sz w:val="32"/>
          <w:szCs w:val="32"/>
          <w:highlight w:val="none"/>
        </w:rPr>
        <w:t>%，资本充足率为</w:t>
      </w:r>
      <w:r>
        <w:rPr>
          <w:rFonts w:hint="eastAsia" w:ascii="仿宋_GB2312" w:hAnsi="仿宋_GB2312" w:eastAsia="仿宋_GB2312" w:cs="仿宋_GB2312"/>
          <w:color w:val="auto"/>
          <w:sz w:val="32"/>
          <w:szCs w:val="32"/>
          <w:highlight w:val="none"/>
          <w:lang w:val="en-US" w:eastAsia="zh-CN"/>
        </w:rPr>
        <w:t>23.98</w:t>
      </w:r>
      <w:r>
        <w:rPr>
          <w:rFonts w:hint="eastAsia" w:ascii="仿宋_GB2312" w:hAnsi="仿宋_GB2312" w:eastAsia="仿宋_GB2312" w:cs="仿宋_GB2312"/>
          <w:color w:val="auto"/>
          <w:sz w:val="32"/>
          <w:szCs w:val="32"/>
          <w:highlight w:val="none"/>
        </w:rPr>
        <w:t>%；调整后表内外资产余额</w:t>
      </w:r>
      <w:r>
        <w:rPr>
          <w:rFonts w:hint="eastAsia" w:ascii="仿宋_GB2312" w:hAnsi="仿宋" w:eastAsia="仿宋_GB2312" w:cs="Arial Unicode MS"/>
          <w:color w:val="auto"/>
          <w:sz w:val="32"/>
          <w:szCs w:val="32"/>
          <w:highlight w:val="none"/>
        </w:rPr>
        <w:t>967902.72</w:t>
      </w:r>
      <w:r>
        <w:rPr>
          <w:rFonts w:hint="eastAsia" w:ascii="仿宋_GB2312" w:hAnsi="仿宋_GB2312" w:eastAsia="仿宋_GB2312" w:cs="仿宋_GB2312"/>
          <w:color w:val="auto"/>
          <w:sz w:val="32"/>
          <w:szCs w:val="32"/>
          <w:highlight w:val="none"/>
        </w:rPr>
        <w:t>万元，杠杆率为</w:t>
      </w:r>
      <w:r>
        <w:rPr>
          <w:rFonts w:hint="eastAsia" w:ascii="仿宋_GB2312" w:hAnsi="仿宋_GB2312" w:eastAsia="仿宋_GB2312" w:cs="仿宋_GB2312"/>
          <w:color w:val="auto"/>
          <w:sz w:val="32"/>
          <w:szCs w:val="32"/>
          <w:highlight w:val="none"/>
          <w:lang w:val="en-US" w:eastAsia="zh-CN"/>
        </w:rPr>
        <w:t>9.02</w:t>
      </w:r>
      <w:r>
        <w:rPr>
          <w:rFonts w:hint="eastAsia" w:ascii="仿宋_GB2312" w:hAnsi="仿宋_GB2312" w:eastAsia="仿宋_GB2312" w:cs="仿宋_GB2312"/>
          <w:color w:val="auto"/>
          <w:sz w:val="32"/>
          <w:szCs w:val="32"/>
          <w:highlight w:val="none"/>
        </w:rPr>
        <w:t>%。核心一级资本充足率、资本充足率和杠杆率均高于监管部门要求的法定值。</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关键审慎监管指标</w:t>
      </w:r>
      <w:r>
        <w:rPr>
          <w:rFonts w:hint="eastAsia" w:ascii="仿宋_GB2312" w:hAnsi="仿宋_GB2312" w:eastAsia="仿宋_GB2312" w:cs="仿宋_GB2312"/>
          <w:b/>
          <w:bCs/>
          <w:color w:val="auto"/>
          <w:sz w:val="32"/>
          <w:szCs w:val="32"/>
          <w:highlight w:val="none"/>
          <w:lang w:val="en-US" w:eastAsia="zh-CN"/>
        </w:rPr>
        <w:t>及资本构成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根据《办法》规定，本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需披露关键审慎监管指标及资本构成两张报表，具体如下：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仿宋_GB2312" w:eastAsia="楷体_GB2312" w:cs="仿宋_GB2312"/>
          <w:b/>
          <w:color w:val="auto"/>
          <w:sz w:val="32"/>
          <w:szCs w:val="32"/>
          <w:highlight w:val="none"/>
          <w:lang w:val="en-US" w:eastAsia="zh-CN"/>
        </w:rPr>
      </w:pPr>
      <w:r>
        <w:rPr>
          <w:rFonts w:hint="eastAsia" w:ascii="楷体_GB2312" w:hAnsi="仿宋_GB2312" w:eastAsia="楷体_GB2312" w:cs="仿宋_GB2312"/>
          <w:b/>
          <w:color w:val="auto"/>
          <w:sz w:val="32"/>
          <w:szCs w:val="32"/>
          <w:highlight w:val="none"/>
          <w:lang w:val="en-US" w:eastAsia="zh-CN"/>
        </w:rPr>
        <w:t xml:space="preserve">附表1  </w:t>
      </w:r>
      <w:r>
        <w:rPr>
          <w:rFonts w:ascii="楷体_GB2312" w:hAnsi="仿宋_GB2312" w:eastAsia="楷体_GB2312" w:cs="仿宋_GB2312"/>
          <w:b/>
          <w:color w:val="auto"/>
          <w:sz w:val="32"/>
          <w:szCs w:val="32"/>
          <w:highlight w:val="none"/>
        </w:rPr>
        <w:t>关键审慎监管指标</w:t>
      </w:r>
      <w:r>
        <w:rPr>
          <w:rFonts w:hint="eastAsia" w:ascii="楷体_GB2312" w:hAnsi="仿宋_GB2312" w:eastAsia="楷体_GB2312" w:cs="仿宋_GB2312"/>
          <w:b/>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楷体_GB2312" w:hAnsi="仿宋_GB2312" w:eastAsia="楷体_GB2312" w:cs="仿宋_GB2312"/>
          <w:b/>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单位：人民币万元  %</w:t>
      </w:r>
    </w:p>
    <w:tbl>
      <w:tblPr>
        <w:tblStyle w:val="14"/>
        <w:tblW w:w="904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719"/>
        <w:gridCol w:w="1680"/>
        <w:gridCol w:w="183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817" w:type="dxa"/>
            <w:tcBorders>
              <w:left w:val="single" w:color="auto" w:sz="4" w:space="0"/>
            </w:tcBorders>
            <w:vAlign w:val="center"/>
          </w:tcPr>
          <w:p>
            <w:pPr>
              <w:snapToGrid w:val="0"/>
              <w:spacing w:line="480" w:lineRule="exact"/>
              <w:jc w:val="center"/>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lang w:val="en-US" w:eastAsia="zh-CN"/>
              </w:rPr>
              <w:t>序号</w:t>
            </w:r>
          </w:p>
        </w:tc>
        <w:tc>
          <w:tcPr>
            <w:tcW w:w="4719" w:type="dxa"/>
            <w:vAlign w:val="center"/>
          </w:tcPr>
          <w:p>
            <w:pPr>
              <w:snapToGrid w:val="0"/>
              <w:spacing w:line="480" w:lineRule="exact"/>
              <w:jc w:val="center"/>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lang w:val="en-US" w:eastAsia="zh-CN"/>
              </w:rPr>
              <w:t>项目</w:t>
            </w:r>
          </w:p>
        </w:tc>
        <w:tc>
          <w:tcPr>
            <w:tcW w:w="1680" w:type="dxa"/>
            <w:vAlign w:val="center"/>
          </w:tcPr>
          <w:p>
            <w:pPr>
              <w:snapToGrid w:val="0"/>
              <w:spacing w:line="480" w:lineRule="exact"/>
              <w:jc w:val="center"/>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lang w:val="en-US" w:eastAsia="zh-CN"/>
              </w:rPr>
              <w:t>上一期末（</w:t>
            </w:r>
            <w:r>
              <w:rPr>
                <w:rFonts w:ascii="仿宋_GB2312" w:hAnsi="仿宋" w:eastAsia="仿宋_GB2312" w:cs="Arial Unicode MS"/>
                <w:color w:val="auto"/>
                <w:sz w:val="28"/>
                <w:szCs w:val="28"/>
                <w:highlight w:val="none"/>
              </w:rPr>
              <w:t>T-1</w:t>
            </w:r>
            <w:r>
              <w:rPr>
                <w:rFonts w:hint="eastAsia" w:ascii="仿宋_GB2312" w:hAnsi="仿宋" w:eastAsia="仿宋_GB2312" w:cs="Arial Unicode MS"/>
                <w:color w:val="auto"/>
                <w:sz w:val="28"/>
                <w:szCs w:val="28"/>
                <w:highlight w:val="none"/>
                <w:lang w:val="en-US" w:eastAsia="zh-CN"/>
              </w:rPr>
              <w:t>）</w:t>
            </w:r>
          </w:p>
        </w:tc>
        <w:tc>
          <w:tcPr>
            <w:tcW w:w="1830" w:type="dxa"/>
            <w:tcBorders>
              <w:right w:val="single" w:color="auto" w:sz="4" w:space="0"/>
            </w:tcBorders>
            <w:vAlign w:val="center"/>
          </w:tcPr>
          <w:p>
            <w:pPr>
              <w:snapToGrid w:val="0"/>
              <w:spacing w:line="480" w:lineRule="exact"/>
              <w:jc w:val="center"/>
              <w:rPr>
                <w:rFonts w:ascii="仿宋_GB2312" w:hAnsi="仿宋" w:eastAsia="仿宋_GB2312" w:cs="Arial Unicode MS"/>
                <w:color w:val="auto"/>
                <w:sz w:val="28"/>
                <w:szCs w:val="28"/>
                <w:highlight w:val="none"/>
              </w:rPr>
            </w:pPr>
            <w:r>
              <w:rPr>
                <w:rFonts w:hint="default" w:ascii="仿宋_GB2312" w:hAnsi="仿宋" w:eastAsia="仿宋_GB2312" w:cs="Arial Unicode MS"/>
                <w:color w:val="auto"/>
                <w:sz w:val="28"/>
                <w:szCs w:val="28"/>
                <w:highlight w:val="none"/>
                <w:lang w:eastAsia="zh-CN"/>
              </w:rPr>
              <w:t>报告期</w:t>
            </w:r>
            <w:r>
              <w:rPr>
                <w:rFonts w:hint="eastAsia" w:ascii="仿宋_GB2312" w:hAnsi="仿宋" w:eastAsia="仿宋_GB2312" w:cs="Arial Unicode MS"/>
                <w:color w:val="auto"/>
                <w:sz w:val="28"/>
                <w:szCs w:val="28"/>
                <w:highlight w:val="none"/>
                <w:lang w:val="en-US" w:eastAsia="zh-CN"/>
              </w:rPr>
              <w:t>末（</w:t>
            </w:r>
            <w:r>
              <w:rPr>
                <w:rFonts w:ascii="仿宋_GB2312" w:hAnsi="仿宋" w:eastAsia="仿宋_GB2312" w:cs="Arial Unicode MS"/>
                <w:color w:val="auto"/>
                <w:sz w:val="28"/>
                <w:szCs w:val="28"/>
                <w:highlight w:val="none"/>
              </w:rPr>
              <w:t>T</w:t>
            </w:r>
            <w:r>
              <w:rPr>
                <w:rFonts w:hint="eastAsia" w:ascii="仿宋_GB2312" w:hAnsi="仿宋" w:eastAsia="仿宋_GB2312" w:cs="Arial Unicode MS"/>
                <w:color w:val="auto"/>
                <w:sz w:val="28"/>
                <w:szCs w:val="28"/>
                <w:highlight w:val="none"/>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9046" w:type="dxa"/>
            <w:gridSpan w:val="4"/>
            <w:tcBorders>
              <w:left w:val="single" w:color="auto" w:sz="4" w:space="0"/>
              <w:right w:val="single" w:color="auto" w:sz="4" w:space="0"/>
            </w:tcBorders>
            <w:shd w:val="clear" w:color="000000" w:fill="D9D9D9"/>
          </w:tcPr>
          <w:p>
            <w:pPr>
              <w:snapToGrid w:val="0"/>
              <w:spacing w:line="480" w:lineRule="exact"/>
              <w:jc w:val="left"/>
              <w:rPr>
                <w:rFonts w:ascii="仿宋_GB2312" w:hAnsi="仿宋" w:eastAsia="仿宋_GB2312" w:cs="Arial Unicode MS"/>
                <w:color w:val="auto"/>
                <w:sz w:val="28"/>
                <w:szCs w:val="28"/>
                <w:highlight w:val="none"/>
              </w:rPr>
            </w:pPr>
            <w:r>
              <w:rPr>
                <w:rFonts w:hint="eastAsia" w:ascii="仿宋_GB2312" w:hAnsi="仿宋" w:eastAsia="仿宋_GB2312" w:cs="Arial Unicode MS"/>
                <w:b/>
                <w:bCs/>
                <w:color w:val="auto"/>
                <w:sz w:val="28"/>
                <w:szCs w:val="28"/>
                <w:highlight w:val="none"/>
              </w:rPr>
              <w:t>可用资本（数额）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auto"/>
                <w:sz w:val="28"/>
                <w:szCs w:val="28"/>
                <w:highlight w:val="none"/>
              </w:rPr>
            </w:pPr>
            <w:r>
              <w:rPr>
                <w:rFonts w:ascii="仿宋_GB2312" w:hAnsi="仿宋" w:eastAsia="仿宋_GB2312" w:cs="Arial Unicode MS"/>
                <w:color w:val="auto"/>
                <w:sz w:val="28"/>
                <w:szCs w:val="28"/>
                <w:highlight w:val="none"/>
              </w:rPr>
              <w:t>1</w:t>
            </w:r>
          </w:p>
        </w:tc>
        <w:tc>
          <w:tcPr>
            <w:tcW w:w="4719" w:type="dxa"/>
            <w:vAlign w:val="center"/>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核心一级资本净额</w:t>
            </w:r>
          </w:p>
        </w:tc>
        <w:tc>
          <w:tcPr>
            <w:tcW w:w="1680" w:type="dxa"/>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default" w:ascii="仿宋_GB2312" w:hAnsi="宋体" w:eastAsia="仿宋_GB2312" w:cs="仿宋_GB2312"/>
                <w:i w:val="0"/>
                <w:color w:val="auto"/>
                <w:kern w:val="0"/>
                <w:sz w:val="28"/>
                <w:szCs w:val="28"/>
                <w:highlight w:val="none"/>
                <w:u w:val="none"/>
                <w:lang w:val="en-US" w:eastAsia="zh-CN" w:bidi="ar"/>
              </w:rPr>
              <w:t>84357.14</w:t>
            </w:r>
          </w:p>
        </w:tc>
        <w:tc>
          <w:tcPr>
            <w:tcW w:w="1830" w:type="dxa"/>
            <w:tcBorders>
              <w:right w:val="single" w:color="auto" w:sz="4" w:space="0"/>
            </w:tcBorders>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eastAsia" w:ascii="仿宋_GB2312" w:hAnsi="宋体" w:eastAsia="仿宋_GB2312" w:cs="仿宋_GB2312"/>
                <w:i w:val="0"/>
                <w:color w:val="auto"/>
                <w:kern w:val="0"/>
                <w:sz w:val="28"/>
                <w:szCs w:val="28"/>
                <w:highlight w:val="none"/>
                <w:u w:val="none"/>
                <w:lang w:val="en-US" w:eastAsia="zh-CN" w:bidi="ar"/>
              </w:rPr>
              <w:t>92725.18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2</w:t>
            </w:r>
          </w:p>
        </w:tc>
        <w:tc>
          <w:tcPr>
            <w:tcW w:w="4719" w:type="dxa"/>
            <w:vAlign w:val="center"/>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资本净额</w:t>
            </w:r>
          </w:p>
        </w:tc>
        <w:tc>
          <w:tcPr>
            <w:tcW w:w="1680" w:type="dxa"/>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default" w:ascii="仿宋_GB2312" w:hAnsi="宋体" w:eastAsia="仿宋_GB2312" w:cs="仿宋_GB2312"/>
                <w:i w:val="0"/>
                <w:color w:val="auto"/>
                <w:kern w:val="0"/>
                <w:sz w:val="28"/>
                <w:szCs w:val="28"/>
                <w:highlight w:val="none"/>
                <w:u w:val="none"/>
                <w:lang w:val="en-US" w:eastAsia="zh-CN" w:bidi="ar"/>
              </w:rPr>
              <w:t>142628.98</w:t>
            </w:r>
          </w:p>
        </w:tc>
        <w:tc>
          <w:tcPr>
            <w:tcW w:w="1830" w:type="dxa"/>
            <w:tcBorders>
              <w:right w:val="single" w:color="auto" w:sz="4" w:space="0"/>
            </w:tcBorders>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eastAsia" w:ascii="仿宋_GB2312" w:hAnsi="宋体" w:eastAsia="仿宋_GB2312" w:cs="仿宋_GB2312"/>
                <w:i w:val="0"/>
                <w:color w:val="auto"/>
                <w:kern w:val="0"/>
                <w:sz w:val="28"/>
                <w:szCs w:val="28"/>
                <w:highlight w:val="none"/>
                <w:u w:val="none"/>
                <w:lang w:val="en-US" w:eastAsia="zh-CN" w:bidi="ar"/>
              </w:rPr>
              <w:t>150038.34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46" w:type="dxa"/>
            <w:gridSpan w:val="4"/>
            <w:tcBorders>
              <w:left w:val="single" w:color="auto" w:sz="4" w:space="0"/>
              <w:right w:val="single" w:color="auto" w:sz="4" w:space="0"/>
            </w:tcBorders>
            <w:shd w:val="clear" w:color="000000" w:fill="D9D9D9"/>
            <w:vAlign w:val="top"/>
          </w:tcPr>
          <w:p>
            <w:pPr>
              <w:snapToGrid w:val="0"/>
              <w:spacing w:line="480" w:lineRule="exact"/>
              <w:jc w:val="left"/>
              <w:rPr>
                <w:color w:val="auto"/>
                <w:highlight w:val="none"/>
              </w:rPr>
            </w:pPr>
            <w:r>
              <w:rPr>
                <w:rFonts w:hint="eastAsia" w:ascii="仿宋_GB2312" w:hAnsi="仿宋" w:eastAsia="仿宋_GB2312" w:cs="Arial Unicode MS"/>
                <w:b/>
                <w:bCs/>
                <w:color w:val="auto"/>
                <w:sz w:val="28"/>
                <w:szCs w:val="28"/>
                <w:highlight w:val="none"/>
              </w:rPr>
              <w:t>风险加权资产（数额）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3</w:t>
            </w:r>
          </w:p>
        </w:tc>
        <w:tc>
          <w:tcPr>
            <w:tcW w:w="4719" w:type="dxa"/>
            <w:vAlign w:val="center"/>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信用风险加权资产</w:t>
            </w:r>
          </w:p>
        </w:tc>
        <w:tc>
          <w:tcPr>
            <w:tcW w:w="1680" w:type="dxa"/>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default" w:ascii="仿宋_GB2312" w:hAnsi="宋体" w:eastAsia="仿宋_GB2312" w:cs="仿宋_GB2312"/>
                <w:i w:val="0"/>
                <w:color w:val="auto"/>
                <w:kern w:val="0"/>
                <w:sz w:val="28"/>
                <w:szCs w:val="28"/>
                <w:highlight w:val="none"/>
                <w:u w:val="none"/>
                <w:lang w:val="en-US" w:eastAsia="zh-CN" w:bidi="ar"/>
              </w:rPr>
              <w:t>536154.9</w:t>
            </w:r>
          </w:p>
        </w:tc>
        <w:tc>
          <w:tcPr>
            <w:tcW w:w="1830" w:type="dxa"/>
            <w:tcBorders>
              <w:right w:val="single" w:color="auto" w:sz="4" w:space="0"/>
            </w:tcBorders>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eastAsia" w:ascii="仿宋_GB2312" w:hAnsi="宋体" w:eastAsia="仿宋_GB2312" w:cs="仿宋_GB2312"/>
                <w:i w:val="0"/>
                <w:color w:val="auto"/>
                <w:kern w:val="0"/>
                <w:sz w:val="28"/>
                <w:szCs w:val="28"/>
                <w:highlight w:val="none"/>
                <w:u w:val="none"/>
                <w:lang w:val="en-US" w:eastAsia="zh-CN" w:bidi="ar"/>
              </w:rPr>
              <w:t>564376.41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4</w:t>
            </w:r>
          </w:p>
        </w:tc>
        <w:tc>
          <w:tcPr>
            <w:tcW w:w="4719" w:type="dxa"/>
            <w:vAlign w:val="center"/>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操作风险加权资产</w:t>
            </w:r>
          </w:p>
        </w:tc>
        <w:tc>
          <w:tcPr>
            <w:tcW w:w="1680" w:type="dxa"/>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default" w:ascii="仿宋_GB2312" w:hAnsi="宋体" w:eastAsia="仿宋_GB2312" w:cs="仿宋_GB2312"/>
                <w:i w:val="0"/>
                <w:color w:val="auto"/>
                <w:kern w:val="0"/>
                <w:sz w:val="28"/>
                <w:szCs w:val="28"/>
                <w:highlight w:val="none"/>
                <w:u w:val="none"/>
                <w:lang w:val="en-US" w:eastAsia="zh-CN" w:bidi="ar"/>
              </w:rPr>
              <w:t>59925</w:t>
            </w:r>
          </w:p>
        </w:tc>
        <w:tc>
          <w:tcPr>
            <w:tcW w:w="1830" w:type="dxa"/>
            <w:tcBorders>
              <w:right w:val="single" w:color="auto" w:sz="4" w:space="0"/>
            </w:tcBorders>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eastAsia" w:ascii="仿宋_GB2312" w:hAnsi="宋体" w:eastAsia="仿宋_GB2312" w:cs="仿宋_GB2312"/>
                <w:i w:val="0"/>
                <w:color w:val="auto"/>
                <w:kern w:val="0"/>
                <w:sz w:val="28"/>
                <w:szCs w:val="28"/>
                <w:highlight w:val="none"/>
                <w:u w:val="none"/>
                <w:lang w:val="en-US" w:eastAsia="zh-CN" w:bidi="ar"/>
              </w:rPr>
              <w:t>61362.50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5</w:t>
            </w:r>
          </w:p>
        </w:tc>
        <w:tc>
          <w:tcPr>
            <w:tcW w:w="4719" w:type="dxa"/>
            <w:vAlign w:val="center"/>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风险加权资产合计</w:t>
            </w:r>
          </w:p>
        </w:tc>
        <w:tc>
          <w:tcPr>
            <w:tcW w:w="1680" w:type="dxa"/>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default" w:ascii="仿宋_GB2312" w:hAnsi="宋体" w:eastAsia="仿宋_GB2312" w:cs="仿宋_GB2312"/>
                <w:i w:val="0"/>
                <w:color w:val="auto"/>
                <w:kern w:val="0"/>
                <w:sz w:val="28"/>
                <w:szCs w:val="28"/>
                <w:highlight w:val="none"/>
                <w:u w:val="none"/>
                <w:lang w:val="en-US" w:eastAsia="zh-CN" w:bidi="ar"/>
              </w:rPr>
              <w:t>596079.9</w:t>
            </w:r>
          </w:p>
        </w:tc>
        <w:tc>
          <w:tcPr>
            <w:tcW w:w="1830" w:type="dxa"/>
            <w:tcBorders>
              <w:right w:val="single" w:color="auto" w:sz="4" w:space="0"/>
            </w:tcBorders>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eastAsia" w:ascii="仿宋_GB2312" w:hAnsi="宋体" w:eastAsia="仿宋_GB2312" w:cs="仿宋_GB2312"/>
                <w:i w:val="0"/>
                <w:color w:val="auto"/>
                <w:kern w:val="0"/>
                <w:sz w:val="28"/>
                <w:szCs w:val="28"/>
                <w:highlight w:val="none"/>
                <w:u w:val="none"/>
                <w:lang w:val="en-US" w:eastAsia="zh-CN" w:bidi="ar"/>
              </w:rPr>
              <w:t>625738.91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9046" w:type="dxa"/>
            <w:gridSpan w:val="4"/>
            <w:tcBorders>
              <w:left w:val="single" w:color="auto" w:sz="4" w:space="0"/>
              <w:right w:val="single" w:color="auto" w:sz="4" w:space="0"/>
            </w:tcBorders>
            <w:shd w:val="clear" w:color="000000" w:fill="D9D9D9"/>
            <w:vAlign w:val="top"/>
          </w:tcPr>
          <w:p>
            <w:pPr>
              <w:snapToGrid w:val="0"/>
              <w:spacing w:line="480" w:lineRule="exact"/>
              <w:jc w:val="left"/>
              <w:rPr>
                <w:color w:val="auto"/>
                <w:highlight w:val="none"/>
              </w:rPr>
            </w:pPr>
            <w:r>
              <w:rPr>
                <w:rFonts w:hint="eastAsia" w:ascii="仿宋_GB2312" w:hAnsi="仿宋" w:eastAsia="仿宋_GB2312" w:cs="Arial Unicode MS"/>
                <w:b/>
                <w:bCs/>
                <w:color w:val="auto"/>
                <w:sz w:val="28"/>
                <w:szCs w:val="28"/>
                <w:highlight w:val="none"/>
              </w:rPr>
              <w:t>资本充足率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817" w:type="dxa"/>
            <w:tcBorders>
              <w:left w:val="single" w:color="auto" w:sz="4" w:space="0"/>
            </w:tcBorders>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6</w:t>
            </w:r>
          </w:p>
        </w:tc>
        <w:tc>
          <w:tcPr>
            <w:tcW w:w="4719" w:type="dxa"/>
            <w:vAlign w:val="center"/>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核心一级资本充足率（</w:t>
            </w:r>
            <w:r>
              <w:rPr>
                <w:rFonts w:ascii="仿宋_GB2312" w:hAnsi="仿宋" w:eastAsia="仿宋_GB2312" w:cs="Arial Unicode MS"/>
                <w:color w:val="auto"/>
                <w:sz w:val="28"/>
                <w:szCs w:val="28"/>
                <w:highlight w:val="none"/>
              </w:rPr>
              <w:t>%）</w:t>
            </w:r>
          </w:p>
        </w:tc>
        <w:tc>
          <w:tcPr>
            <w:tcW w:w="1680" w:type="dxa"/>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default" w:ascii="仿宋_GB2312" w:hAnsi="宋体" w:eastAsia="仿宋_GB2312" w:cs="仿宋_GB2312"/>
                <w:i w:val="0"/>
                <w:color w:val="auto"/>
                <w:kern w:val="0"/>
                <w:sz w:val="28"/>
                <w:szCs w:val="28"/>
                <w:highlight w:val="none"/>
                <w:u w:val="none"/>
                <w:lang w:val="en-US" w:eastAsia="zh-CN" w:bidi="ar"/>
              </w:rPr>
              <w:t>14.15</w:t>
            </w:r>
          </w:p>
        </w:tc>
        <w:tc>
          <w:tcPr>
            <w:tcW w:w="1830" w:type="dxa"/>
            <w:tcBorders>
              <w:right w:val="single" w:color="auto" w:sz="4" w:space="0"/>
            </w:tcBorders>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eastAsia" w:ascii="仿宋_GB2312" w:hAnsi="宋体" w:eastAsia="仿宋_GB2312" w:cs="仿宋_GB2312"/>
                <w:i w:val="0"/>
                <w:color w:val="auto"/>
                <w:kern w:val="0"/>
                <w:sz w:val="28"/>
                <w:szCs w:val="28"/>
                <w:highlight w:val="none"/>
                <w:u w:val="none"/>
                <w:lang w:val="en-US" w:eastAsia="zh-CN" w:bidi="ar"/>
              </w:rPr>
              <w:t>14.82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7</w:t>
            </w:r>
          </w:p>
        </w:tc>
        <w:tc>
          <w:tcPr>
            <w:tcW w:w="4719" w:type="dxa"/>
            <w:vAlign w:val="center"/>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资本充足率（</w:t>
            </w:r>
            <w:r>
              <w:rPr>
                <w:rFonts w:ascii="仿宋_GB2312" w:hAnsi="仿宋" w:eastAsia="仿宋_GB2312" w:cs="Arial Unicode MS"/>
                <w:color w:val="auto"/>
                <w:sz w:val="28"/>
                <w:szCs w:val="28"/>
                <w:highlight w:val="none"/>
              </w:rPr>
              <w:t>%）</w:t>
            </w:r>
          </w:p>
        </w:tc>
        <w:tc>
          <w:tcPr>
            <w:tcW w:w="1680" w:type="dxa"/>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default" w:ascii="仿宋_GB2312" w:hAnsi="宋体" w:eastAsia="仿宋_GB2312" w:cs="仿宋_GB2312"/>
                <w:i w:val="0"/>
                <w:color w:val="auto"/>
                <w:kern w:val="0"/>
                <w:sz w:val="28"/>
                <w:szCs w:val="28"/>
                <w:highlight w:val="none"/>
                <w:u w:val="none"/>
                <w:lang w:val="en-US" w:eastAsia="zh-CN" w:bidi="ar"/>
              </w:rPr>
              <w:t>23.93</w:t>
            </w:r>
          </w:p>
        </w:tc>
        <w:tc>
          <w:tcPr>
            <w:tcW w:w="1830" w:type="dxa"/>
            <w:tcBorders>
              <w:right w:val="single" w:color="auto" w:sz="4" w:space="0"/>
            </w:tcBorders>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default" w:ascii="仿宋_GB2312" w:hAnsi="宋体" w:eastAsia="仿宋_GB2312" w:cs="仿宋_GB2312"/>
                <w:i w:val="0"/>
                <w:color w:val="auto"/>
                <w:kern w:val="0"/>
                <w:sz w:val="28"/>
                <w:szCs w:val="28"/>
                <w:highlight w:val="none"/>
                <w:u w:val="none"/>
                <w:lang w:val="en-US" w:eastAsia="zh-CN" w:bidi="ar"/>
              </w:rPr>
              <w:t>23.</w:t>
            </w:r>
            <w:r>
              <w:rPr>
                <w:rFonts w:hint="eastAsia" w:ascii="仿宋_GB2312" w:hAnsi="宋体" w:eastAsia="仿宋_GB2312" w:cs="仿宋_GB2312"/>
                <w:i w:val="0"/>
                <w:color w:val="auto"/>
                <w:kern w:val="0"/>
                <w:sz w:val="28"/>
                <w:szCs w:val="28"/>
                <w:highlight w:val="none"/>
                <w:u w:val="none"/>
                <w:lang w:val="en-US" w:eastAsia="zh-CN" w:bidi="ar"/>
              </w:rPr>
              <w:t>98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9046" w:type="dxa"/>
            <w:gridSpan w:val="4"/>
            <w:tcBorders>
              <w:left w:val="single" w:color="auto" w:sz="4" w:space="0"/>
              <w:right w:val="single" w:color="auto" w:sz="4" w:space="0"/>
            </w:tcBorders>
            <w:shd w:val="clear" w:color="000000" w:fill="D9D9D9"/>
            <w:vAlign w:val="top"/>
          </w:tcPr>
          <w:p>
            <w:pPr>
              <w:snapToGrid w:val="0"/>
              <w:spacing w:line="480" w:lineRule="exact"/>
              <w:jc w:val="left"/>
              <w:rPr>
                <w:color w:val="auto"/>
                <w:highlight w:val="none"/>
              </w:rPr>
            </w:pPr>
            <w:r>
              <w:rPr>
                <w:rFonts w:hint="eastAsia" w:ascii="仿宋_GB2312" w:hAnsi="仿宋" w:eastAsia="仿宋_GB2312" w:cs="Arial Unicode MS"/>
                <w:b/>
                <w:bCs/>
                <w:color w:val="auto"/>
                <w:sz w:val="28"/>
                <w:szCs w:val="28"/>
                <w:highlight w:val="none"/>
              </w:rPr>
              <w:t>杠杆率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8</w:t>
            </w:r>
          </w:p>
        </w:tc>
        <w:tc>
          <w:tcPr>
            <w:tcW w:w="4719" w:type="dxa"/>
            <w:vAlign w:val="center"/>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调整后表内外资产余额</w:t>
            </w:r>
          </w:p>
        </w:tc>
        <w:tc>
          <w:tcPr>
            <w:tcW w:w="1680" w:type="dxa"/>
            <w:vAlign w:val="center"/>
          </w:tcPr>
          <w:p>
            <w:pPr>
              <w:keepNext w:val="0"/>
              <w:keepLines w:val="0"/>
              <w:widowControl/>
              <w:suppressLineNumbers w:val="0"/>
              <w:jc w:val="center"/>
              <w:textAlignment w:val="center"/>
              <w:rPr>
                <w:rFonts w:ascii="仿宋_GB2312" w:hAnsi="仿宋" w:eastAsia="仿宋_GB2312" w:cs="Arial Unicode MS"/>
                <w:color w:val="auto"/>
                <w:sz w:val="28"/>
                <w:szCs w:val="28"/>
                <w:highlight w:val="none"/>
              </w:rPr>
            </w:pPr>
            <w:r>
              <w:rPr>
                <w:rFonts w:hint="default" w:ascii="仿宋_GB2312" w:hAnsi="宋体" w:eastAsia="仿宋_GB2312" w:cs="仿宋_GB2312"/>
                <w:i w:val="0"/>
                <w:color w:val="auto"/>
                <w:kern w:val="0"/>
                <w:sz w:val="28"/>
                <w:szCs w:val="28"/>
                <w:highlight w:val="none"/>
                <w:u w:val="none"/>
                <w:lang w:val="en-US" w:eastAsia="zh-CN" w:bidi="ar"/>
              </w:rPr>
              <w:t>967902.72</w:t>
            </w:r>
          </w:p>
        </w:tc>
        <w:tc>
          <w:tcPr>
            <w:tcW w:w="1830" w:type="dxa"/>
            <w:tcBorders>
              <w:right w:val="single" w:color="auto" w:sz="4" w:space="0"/>
            </w:tcBorders>
            <w:vAlign w:val="center"/>
          </w:tcPr>
          <w:p>
            <w:pPr>
              <w:keepNext w:val="0"/>
              <w:keepLines w:val="0"/>
              <w:widowControl/>
              <w:suppressLineNumbers w:val="0"/>
              <w:jc w:val="center"/>
              <w:textAlignment w:val="center"/>
              <w:rPr>
                <w:rFonts w:ascii="仿宋_GB2312" w:hAnsi="仿宋" w:eastAsia="仿宋_GB2312" w:cs="Arial Unicode MS"/>
                <w:color w:val="auto"/>
                <w:sz w:val="28"/>
                <w:szCs w:val="28"/>
                <w:highlight w:val="none"/>
              </w:rPr>
            </w:pPr>
            <w:r>
              <w:rPr>
                <w:rFonts w:hint="eastAsia" w:ascii="仿宋_GB2312" w:hAnsi="宋体" w:eastAsia="仿宋_GB2312" w:cs="仿宋_GB2312"/>
                <w:i w:val="0"/>
                <w:color w:val="auto"/>
                <w:kern w:val="0"/>
                <w:sz w:val="28"/>
                <w:szCs w:val="28"/>
                <w:highlight w:val="none"/>
                <w:u w:val="none"/>
                <w:lang w:val="en-US" w:eastAsia="zh-CN" w:bidi="ar"/>
              </w:rPr>
              <w:t>1027974.24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9</w:t>
            </w:r>
          </w:p>
        </w:tc>
        <w:tc>
          <w:tcPr>
            <w:tcW w:w="4719" w:type="dxa"/>
            <w:vAlign w:val="center"/>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_GB2312" w:eastAsia="仿宋_GB2312" w:cs="仿宋_GB2312"/>
                <w:color w:val="auto"/>
                <w:sz w:val="28"/>
                <w:szCs w:val="28"/>
                <w:highlight w:val="none"/>
              </w:rPr>
              <w:t>杠杆率</w:t>
            </w:r>
            <w:r>
              <w:rPr>
                <w:rFonts w:hint="eastAsia" w:ascii="仿宋_GB2312" w:hAnsi="仿宋" w:eastAsia="仿宋_GB2312" w:cs="Arial Unicode MS"/>
                <w:color w:val="auto"/>
                <w:sz w:val="28"/>
                <w:szCs w:val="28"/>
                <w:highlight w:val="none"/>
              </w:rPr>
              <w:t>（</w:t>
            </w:r>
            <w:r>
              <w:rPr>
                <w:rFonts w:ascii="仿宋_GB2312" w:hAnsi="仿宋" w:eastAsia="仿宋_GB2312" w:cs="Arial Unicode MS"/>
                <w:color w:val="auto"/>
                <w:sz w:val="28"/>
                <w:szCs w:val="28"/>
                <w:highlight w:val="none"/>
              </w:rPr>
              <w:t>%）</w:t>
            </w:r>
          </w:p>
        </w:tc>
        <w:tc>
          <w:tcPr>
            <w:tcW w:w="1680" w:type="dxa"/>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default" w:ascii="仿宋_GB2312" w:hAnsi="宋体" w:eastAsia="仿宋_GB2312" w:cs="仿宋_GB2312"/>
                <w:i w:val="0"/>
                <w:color w:val="auto"/>
                <w:kern w:val="0"/>
                <w:sz w:val="28"/>
                <w:szCs w:val="28"/>
                <w:highlight w:val="none"/>
                <w:u w:val="none"/>
                <w:lang w:val="en-US" w:eastAsia="zh-CN" w:bidi="ar"/>
              </w:rPr>
              <w:t>8.72</w:t>
            </w:r>
          </w:p>
        </w:tc>
        <w:tc>
          <w:tcPr>
            <w:tcW w:w="1830" w:type="dxa"/>
            <w:tcBorders>
              <w:right w:val="single" w:color="auto" w:sz="4" w:space="0"/>
            </w:tcBorders>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eastAsia" w:ascii="仿宋_GB2312" w:hAnsi="宋体" w:eastAsia="仿宋_GB2312" w:cs="仿宋_GB2312"/>
                <w:i w:val="0"/>
                <w:color w:val="auto"/>
                <w:kern w:val="0"/>
                <w:sz w:val="28"/>
                <w:szCs w:val="28"/>
                <w:highlight w:val="none"/>
                <w:u w:val="none"/>
                <w:lang w:val="en-US" w:eastAsia="zh-CN" w:bidi="ar"/>
              </w:rPr>
              <w:t>9.02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10</w:t>
            </w:r>
          </w:p>
        </w:tc>
        <w:tc>
          <w:tcPr>
            <w:tcW w:w="4719" w:type="dxa"/>
            <w:vAlign w:val="center"/>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_GB2312" w:eastAsia="仿宋_GB2312" w:cs="仿宋_GB2312"/>
                <w:color w:val="auto"/>
                <w:sz w:val="28"/>
                <w:szCs w:val="28"/>
                <w:highlight w:val="none"/>
              </w:rPr>
              <w:t>杠杆率a</w:t>
            </w:r>
            <w:r>
              <w:rPr>
                <w:rFonts w:hint="eastAsia" w:ascii="仿宋_GB2312" w:hAnsi="仿宋" w:eastAsia="仿宋_GB2312" w:cs="Arial Unicode MS"/>
                <w:color w:val="auto"/>
                <w:sz w:val="28"/>
                <w:szCs w:val="28"/>
                <w:highlight w:val="none"/>
              </w:rPr>
              <w:t>（</w:t>
            </w:r>
            <w:r>
              <w:rPr>
                <w:rFonts w:ascii="仿宋_GB2312" w:hAnsi="仿宋" w:eastAsia="仿宋_GB2312" w:cs="Arial Unicode MS"/>
                <w:color w:val="auto"/>
                <w:sz w:val="28"/>
                <w:szCs w:val="28"/>
                <w:highlight w:val="none"/>
              </w:rPr>
              <w:t>%）</w:t>
            </w:r>
          </w:p>
        </w:tc>
        <w:tc>
          <w:tcPr>
            <w:tcW w:w="1680" w:type="dxa"/>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default" w:ascii="仿宋_GB2312" w:hAnsi="宋体" w:eastAsia="仿宋_GB2312" w:cs="仿宋_GB2312"/>
                <w:i w:val="0"/>
                <w:color w:val="auto"/>
                <w:kern w:val="0"/>
                <w:sz w:val="28"/>
                <w:szCs w:val="28"/>
                <w:highlight w:val="none"/>
                <w:u w:val="none"/>
                <w:lang w:val="en-US" w:eastAsia="zh-CN" w:bidi="ar"/>
              </w:rPr>
              <w:t>8.72</w:t>
            </w:r>
          </w:p>
        </w:tc>
        <w:tc>
          <w:tcPr>
            <w:tcW w:w="1830" w:type="dxa"/>
            <w:tcBorders>
              <w:right w:val="single" w:color="auto" w:sz="4" w:space="0"/>
            </w:tcBorders>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eastAsia="zh-CN"/>
              </w:rPr>
            </w:pPr>
            <w:r>
              <w:rPr>
                <w:rFonts w:hint="eastAsia" w:ascii="仿宋_GB2312" w:hAnsi="宋体" w:eastAsia="仿宋_GB2312" w:cs="仿宋_GB2312"/>
                <w:i w:val="0"/>
                <w:color w:val="auto"/>
                <w:kern w:val="0"/>
                <w:sz w:val="28"/>
                <w:szCs w:val="28"/>
                <w:highlight w:val="none"/>
                <w:u w:val="none"/>
                <w:lang w:val="en-US" w:eastAsia="zh-CN" w:bidi="ar"/>
              </w:rPr>
              <w:t>9.02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46" w:type="dxa"/>
            <w:gridSpan w:val="4"/>
            <w:tcBorders>
              <w:left w:val="single" w:color="auto" w:sz="4" w:space="0"/>
              <w:right w:val="single" w:color="auto" w:sz="4" w:space="0"/>
            </w:tcBorders>
            <w:shd w:val="clear" w:color="000000" w:fill="D9D9D9"/>
            <w:vAlign w:val="top"/>
          </w:tcPr>
          <w:p>
            <w:pPr>
              <w:snapToGrid w:val="0"/>
              <w:spacing w:line="480" w:lineRule="exact"/>
              <w:jc w:val="left"/>
              <w:rPr>
                <w:color w:val="auto"/>
                <w:highlight w:val="none"/>
              </w:rPr>
            </w:pPr>
            <w:r>
              <w:rPr>
                <w:rFonts w:hint="eastAsia" w:ascii="仿宋_GB2312" w:hAnsi="仿宋" w:eastAsia="仿宋_GB2312" w:cs="Arial Unicode MS"/>
                <w:b/>
                <w:bCs/>
                <w:color w:val="auto"/>
                <w:sz w:val="28"/>
                <w:szCs w:val="28"/>
                <w:highlight w:val="none"/>
              </w:rPr>
              <w:t>流动性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11</w:t>
            </w:r>
          </w:p>
        </w:tc>
        <w:tc>
          <w:tcPr>
            <w:tcW w:w="4719" w:type="dxa"/>
            <w:vAlign w:val="center"/>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优质流动性资产充足率（</w:t>
            </w:r>
            <w:r>
              <w:rPr>
                <w:rFonts w:ascii="仿宋_GB2312" w:hAnsi="仿宋" w:eastAsia="仿宋_GB2312" w:cs="Arial Unicode MS"/>
                <w:color w:val="auto"/>
                <w:sz w:val="28"/>
                <w:szCs w:val="28"/>
                <w:highlight w:val="none"/>
              </w:rPr>
              <w:t>%）</w:t>
            </w:r>
          </w:p>
        </w:tc>
        <w:tc>
          <w:tcPr>
            <w:tcW w:w="1680" w:type="dxa"/>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default" w:ascii="仿宋_GB2312" w:hAnsi="宋体" w:eastAsia="仿宋_GB2312" w:cs="仿宋_GB2312"/>
                <w:i w:val="0"/>
                <w:color w:val="auto"/>
                <w:kern w:val="0"/>
                <w:sz w:val="28"/>
                <w:szCs w:val="28"/>
                <w:highlight w:val="none"/>
                <w:u w:val="none"/>
                <w:lang w:val="en-US" w:eastAsia="zh-CN" w:bidi="ar"/>
              </w:rPr>
              <w:t>219.63</w:t>
            </w:r>
          </w:p>
        </w:tc>
        <w:tc>
          <w:tcPr>
            <w:tcW w:w="1830" w:type="dxa"/>
            <w:tcBorders>
              <w:right w:val="single" w:color="auto" w:sz="4" w:space="0"/>
            </w:tcBorders>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eastAsia" w:ascii="仿宋_GB2312" w:hAnsi="宋体" w:eastAsia="仿宋_GB2312" w:cs="仿宋_GB2312"/>
                <w:i w:val="0"/>
                <w:color w:val="auto"/>
                <w:kern w:val="0"/>
                <w:sz w:val="28"/>
                <w:szCs w:val="28"/>
                <w:highlight w:val="none"/>
                <w:u w:val="none"/>
                <w:lang w:val="en-US" w:eastAsia="zh-CN" w:bidi="ar"/>
              </w:rPr>
              <w:t>238.96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12</w:t>
            </w:r>
          </w:p>
        </w:tc>
        <w:tc>
          <w:tcPr>
            <w:tcW w:w="4719" w:type="dxa"/>
            <w:vAlign w:val="center"/>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流动性比例（</w:t>
            </w:r>
            <w:r>
              <w:rPr>
                <w:rFonts w:ascii="仿宋_GB2312" w:hAnsi="仿宋" w:eastAsia="仿宋_GB2312" w:cs="Arial Unicode MS"/>
                <w:color w:val="auto"/>
                <w:sz w:val="28"/>
                <w:szCs w:val="28"/>
                <w:highlight w:val="none"/>
              </w:rPr>
              <w:t>%）</w:t>
            </w:r>
          </w:p>
        </w:tc>
        <w:tc>
          <w:tcPr>
            <w:tcW w:w="1680" w:type="dxa"/>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default" w:ascii="仿宋_GB2312" w:hAnsi="宋体" w:eastAsia="仿宋_GB2312" w:cs="仿宋_GB2312"/>
                <w:i w:val="0"/>
                <w:color w:val="auto"/>
                <w:kern w:val="0"/>
                <w:sz w:val="28"/>
                <w:szCs w:val="28"/>
                <w:highlight w:val="none"/>
                <w:u w:val="none"/>
                <w:lang w:val="en-US" w:eastAsia="zh-CN" w:bidi="ar"/>
              </w:rPr>
              <w:t>40.34</w:t>
            </w:r>
          </w:p>
        </w:tc>
        <w:tc>
          <w:tcPr>
            <w:tcW w:w="1830" w:type="dxa"/>
            <w:tcBorders>
              <w:right w:val="single" w:color="auto" w:sz="4" w:space="0"/>
            </w:tcBorders>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eastAsia" w:ascii="仿宋_GB2312" w:hAnsi="宋体" w:eastAsia="仿宋_GB2312" w:cs="仿宋_GB2312"/>
                <w:i w:val="0"/>
                <w:color w:val="auto"/>
                <w:kern w:val="0"/>
                <w:sz w:val="28"/>
                <w:szCs w:val="28"/>
                <w:highlight w:val="none"/>
                <w:u w:val="none"/>
                <w:lang w:val="en-US" w:eastAsia="zh-CN" w:bidi="ar"/>
              </w:rPr>
              <w:t>55.33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Borders>
              <w:left w:val="single" w:color="auto" w:sz="4" w:space="0"/>
            </w:tcBorders>
            <w:shd w:val="clear" w:color="auto" w:fill="FFFFFF"/>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13</w:t>
            </w:r>
          </w:p>
        </w:tc>
        <w:tc>
          <w:tcPr>
            <w:tcW w:w="4719" w:type="dxa"/>
            <w:shd w:val="clear" w:color="auto" w:fill="FFFFFF"/>
            <w:vAlign w:val="center"/>
          </w:tcPr>
          <w:p>
            <w:pPr>
              <w:snapToGrid w:val="0"/>
              <w:spacing w:line="480" w:lineRule="exact"/>
              <w:rPr>
                <w:rFonts w:ascii="仿宋_GB2312" w:hAnsi="仿宋" w:eastAsia="仿宋_GB2312" w:cs="Arial Unicode MS"/>
                <w:color w:val="auto"/>
                <w:sz w:val="28"/>
                <w:szCs w:val="28"/>
                <w:highlight w:val="none"/>
              </w:rPr>
            </w:pPr>
            <w:r>
              <w:rPr>
                <w:rFonts w:hint="eastAsia" w:ascii="仿宋_GB2312" w:hAnsi="仿宋" w:eastAsia="仿宋_GB2312" w:cs="Arial Unicode MS"/>
                <w:color w:val="auto"/>
                <w:sz w:val="28"/>
                <w:szCs w:val="28"/>
                <w:highlight w:val="none"/>
              </w:rPr>
              <w:t>流动性匹配率（</w:t>
            </w:r>
            <w:r>
              <w:rPr>
                <w:rFonts w:ascii="仿宋_GB2312" w:hAnsi="仿宋" w:eastAsia="仿宋_GB2312" w:cs="Arial Unicode MS"/>
                <w:color w:val="auto"/>
                <w:sz w:val="28"/>
                <w:szCs w:val="28"/>
                <w:highlight w:val="none"/>
              </w:rPr>
              <w:t>%）</w:t>
            </w:r>
          </w:p>
        </w:tc>
        <w:tc>
          <w:tcPr>
            <w:tcW w:w="1680" w:type="dxa"/>
            <w:shd w:val="clear" w:color="auto" w:fill="FFFFFF"/>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default" w:ascii="仿宋_GB2312" w:hAnsi="宋体" w:eastAsia="仿宋_GB2312" w:cs="仿宋_GB2312"/>
                <w:i w:val="0"/>
                <w:color w:val="auto"/>
                <w:kern w:val="0"/>
                <w:sz w:val="28"/>
                <w:szCs w:val="28"/>
                <w:highlight w:val="none"/>
                <w:u w:val="none"/>
                <w:lang w:val="en-US" w:eastAsia="zh-CN" w:bidi="ar"/>
              </w:rPr>
              <w:t>153.45</w:t>
            </w:r>
          </w:p>
        </w:tc>
        <w:tc>
          <w:tcPr>
            <w:tcW w:w="1830" w:type="dxa"/>
            <w:tcBorders>
              <w:right w:val="single" w:color="auto" w:sz="4" w:space="0"/>
            </w:tcBorders>
            <w:shd w:val="clear" w:color="auto" w:fill="FFFFFF"/>
            <w:vAlign w:val="center"/>
          </w:tcPr>
          <w:p>
            <w:pPr>
              <w:keepNext w:val="0"/>
              <w:keepLines w:val="0"/>
              <w:widowControl/>
              <w:suppressLineNumbers w:val="0"/>
              <w:jc w:val="center"/>
              <w:textAlignment w:val="center"/>
              <w:rPr>
                <w:rFonts w:hint="default" w:ascii="仿宋_GB2312" w:hAnsi="仿宋" w:eastAsia="仿宋_GB2312" w:cs="Arial Unicode MS"/>
                <w:color w:val="auto"/>
                <w:sz w:val="28"/>
                <w:szCs w:val="28"/>
                <w:highlight w:val="none"/>
                <w:lang w:val="en-US" w:eastAsia="zh-CN"/>
              </w:rPr>
            </w:pPr>
            <w:r>
              <w:rPr>
                <w:rFonts w:hint="default" w:ascii="仿宋_GB2312" w:hAnsi="宋体" w:eastAsia="仿宋_GB2312" w:cs="仿宋_GB2312"/>
                <w:i w:val="0"/>
                <w:color w:val="auto"/>
                <w:kern w:val="0"/>
                <w:sz w:val="28"/>
                <w:szCs w:val="28"/>
                <w:highlight w:val="none"/>
                <w:u w:val="none"/>
                <w:lang w:val="en-US" w:eastAsia="zh-CN" w:bidi="ar"/>
              </w:rPr>
              <w:t>1</w:t>
            </w:r>
            <w:r>
              <w:rPr>
                <w:rFonts w:hint="eastAsia" w:ascii="仿宋_GB2312" w:hAnsi="宋体" w:eastAsia="仿宋_GB2312" w:cs="仿宋_GB2312"/>
                <w:i w:val="0"/>
                <w:color w:val="auto"/>
                <w:kern w:val="0"/>
                <w:sz w:val="28"/>
                <w:szCs w:val="28"/>
                <w:highlight w:val="none"/>
                <w:u w:val="none"/>
                <w:lang w:val="en-US" w:eastAsia="zh-CN" w:bidi="ar"/>
              </w:rPr>
              <w:t>54.97</w:t>
            </w:r>
          </w:p>
        </w:tc>
      </w:tr>
    </w:tbl>
    <w:p>
      <w:pPr>
        <w:spacing w:line="480" w:lineRule="exact"/>
        <w:rPr>
          <w:rFonts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附表2  </w:t>
      </w:r>
      <w:r>
        <w:rPr>
          <w:rFonts w:hint="eastAsia" w:ascii="楷体_GB2312" w:hAnsi="楷体_GB2312" w:eastAsia="楷体_GB2312" w:cs="楷体_GB2312"/>
          <w:b/>
          <w:bCs/>
          <w:color w:val="auto"/>
          <w:sz w:val="32"/>
          <w:szCs w:val="32"/>
          <w:highlight w:val="none"/>
        </w:rPr>
        <w:t>资本构成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w:t>
      </w:r>
      <w:r>
        <w:rPr>
          <w:rFonts w:hint="eastAsia" w:ascii="楷体_GB2312" w:hAnsi="楷体_GB2312" w:eastAsia="楷体_GB2312" w:cs="楷体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单位：人民币万元   %</w:t>
      </w:r>
    </w:p>
    <w:tbl>
      <w:tblPr>
        <w:tblStyle w:val="14"/>
        <w:tblW w:w="8970"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63"/>
        <w:gridCol w:w="6500"/>
        <w:gridCol w:w="190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63" w:type="dxa"/>
            <w:gridSpan w:val="2"/>
            <w:tcBorders>
              <w:left w:val="single" w:color="auto" w:sz="4" w:space="0"/>
            </w:tcBorders>
            <w:vAlign w:val="center"/>
          </w:tcPr>
          <w:p>
            <w:pPr>
              <w:spacing w:line="48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w:t>
            </w:r>
          </w:p>
        </w:tc>
        <w:tc>
          <w:tcPr>
            <w:tcW w:w="1907" w:type="dxa"/>
            <w:tcBorders>
              <w:right w:val="single" w:color="auto" w:sz="4" w:space="0"/>
            </w:tcBorders>
            <w:vAlign w:val="center"/>
          </w:tcPr>
          <w:p>
            <w:pPr>
              <w:spacing w:line="480" w:lineRule="exact"/>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数额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w:t>
            </w:r>
          </w:p>
        </w:tc>
        <w:tc>
          <w:tcPr>
            <w:tcW w:w="6500" w:type="dxa"/>
            <w:vAlign w:val="center"/>
          </w:tcPr>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实收资本和资本公积可计入部分</w:t>
            </w:r>
          </w:p>
        </w:tc>
        <w:tc>
          <w:tcPr>
            <w:tcW w:w="1907" w:type="dxa"/>
            <w:tcBorders>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i w:val="0"/>
                <w:color w:val="auto"/>
                <w:kern w:val="0"/>
                <w:sz w:val="28"/>
                <w:szCs w:val="28"/>
                <w:highlight w:val="none"/>
                <w:u w:val="none"/>
                <w:lang w:val="en-US" w:eastAsia="zh-CN" w:bidi="ar"/>
              </w:rPr>
              <w:t>16268.23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w:t>
            </w:r>
          </w:p>
        </w:tc>
        <w:tc>
          <w:tcPr>
            <w:tcW w:w="6500" w:type="dxa"/>
            <w:vAlign w:val="center"/>
          </w:tcPr>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TW"/>
              </w:rPr>
              <w:t>留存收益</w:t>
            </w:r>
          </w:p>
        </w:tc>
        <w:tc>
          <w:tcPr>
            <w:tcW w:w="1907" w:type="dxa"/>
            <w:tcBorders>
              <w:right w:val="single" w:color="auto" w:sz="4" w:space="0"/>
            </w:tcBorders>
            <w:vAlign w:val="center"/>
          </w:tcPr>
          <w:p>
            <w:pPr>
              <w:spacing w:line="48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90154.23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2a</w:t>
            </w:r>
          </w:p>
        </w:tc>
        <w:tc>
          <w:tcPr>
            <w:tcW w:w="6500" w:type="dxa"/>
            <w:vAlign w:val="center"/>
          </w:tcPr>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盈余公积</w:t>
            </w:r>
          </w:p>
        </w:tc>
        <w:tc>
          <w:tcPr>
            <w:tcW w:w="1907" w:type="dxa"/>
            <w:tcBorders>
              <w:right w:val="single" w:color="auto" w:sz="4" w:space="0"/>
            </w:tcBorders>
            <w:vAlign w:val="center"/>
          </w:tcPr>
          <w:p>
            <w:pPr>
              <w:spacing w:line="48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17058.55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2b</w:t>
            </w:r>
          </w:p>
        </w:tc>
        <w:tc>
          <w:tcPr>
            <w:tcW w:w="6500" w:type="dxa"/>
            <w:vAlign w:val="center"/>
          </w:tcPr>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一般风险准备</w:t>
            </w:r>
          </w:p>
        </w:tc>
        <w:tc>
          <w:tcPr>
            <w:tcW w:w="1907" w:type="dxa"/>
            <w:tcBorders>
              <w:right w:val="single" w:color="auto" w:sz="4" w:space="0"/>
            </w:tcBorders>
            <w:vAlign w:val="center"/>
          </w:tcPr>
          <w:p>
            <w:pPr>
              <w:spacing w:line="48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21326.51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2c</w:t>
            </w:r>
          </w:p>
        </w:tc>
        <w:tc>
          <w:tcPr>
            <w:tcW w:w="6500" w:type="dxa"/>
            <w:vAlign w:val="center"/>
          </w:tcPr>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未分配利润</w:t>
            </w:r>
          </w:p>
        </w:tc>
        <w:tc>
          <w:tcPr>
            <w:tcW w:w="1907" w:type="dxa"/>
            <w:tcBorders>
              <w:right w:val="single" w:color="auto" w:sz="4" w:space="0"/>
            </w:tcBorders>
            <w:vAlign w:val="center"/>
          </w:tcPr>
          <w:p>
            <w:pPr>
              <w:spacing w:line="48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51769.17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p>
        </w:tc>
        <w:tc>
          <w:tcPr>
            <w:tcW w:w="6500" w:type="dxa"/>
            <w:shd w:val="clear" w:color="auto" w:fill="FFFFFF"/>
            <w:vAlign w:val="center"/>
          </w:tcPr>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累计其他综合收益</w:t>
            </w:r>
          </w:p>
        </w:tc>
        <w:tc>
          <w:tcPr>
            <w:tcW w:w="1907" w:type="dxa"/>
            <w:tcBorders>
              <w:right w:val="single" w:color="auto" w:sz="4" w:space="0"/>
            </w:tcBorders>
            <w:shd w:val="clear" w:color="auto" w:fill="FFFFFF"/>
            <w:vAlign w:val="center"/>
          </w:tcPr>
          <w:p>
            <w:pPr>
              <w:spacing w:line="48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530.43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4</w:t>
            </w:r>
          </w:p>
        </w:tc>
        <w:tc>
          <w:tcPr>
            <w:tcW w:w="6500" w:type="dxa"/>
            <w:shd w:val="clear" w:color="auto" w:fill="FFFFFF"/>
            <w:vAlign w:val="center"/>
          </w:tcPr>
          <w:p>
            <w:pPr>
              <w:spacing w:line="480" w:lineRule="exact"/>
              <w:rPr>
                <w:rFonts w:ascii="仿宋_GB2312" w:hAnsi="宋体" w:eastAsia="仿宋_GB2312" w:cs="宋体"/>
                <w:b/>
                <w:bCs/>
                <w:color w:val="auto"/>
                <w:sz w:val="28"/>
                <w:szCs w:val="28"/>
                <w:highlight w:val="none"/>
              </w:rPr>
            </w:pPr>
            <w:r>
              <w:rPr>
                <w:rFonts w:hint="eastAsia" w:ascii="仿宋_GB2312" w:hAnsi="宋体" w:eastAsia="仿宋_GB2312" w:cs="宋体"/>
                <w:b/>
                <w:bCs/>
                <w:color w:val="auto"/>
                <w:sz w:val="28"/>
                <w:szCs w:val="28"/>
                <w:highlight w:val="none"/>
              </w:rPr>
              <w:t>监管调整前的核心一级资本</w:t>
            </w:r>
          </w:p>
        </w:tc>
        <w:tc>
          <w:tcPr>
            <w:tcW w:w="1907" w:type="dxa"/>
            <w:tcBorders>
              <w:right w:val="single" w:color="auto" w:sz="4" w:space="0"/>
            </w:tcBorders>
            <w:shd w:val="clear" w:color="auto" w:fill="FFFFFF"/>
            <w:vAlign w:val="center"/>
          </w:tcPr>
          <w:p>
            <w:pPr>
              <w:spacing w:line="48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106952.89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5</w:t>
            </w:r>
          </w:p>
        </w:tc>
        <w:tc>
          <w:tcPr>
            <w:tcW w:w="6500" w:type="dxa"/>
            <w:shd w:val="clear" w:color="auto" w:fill="FFFFFF"/>
            <w:vAlign w:val="center"/>
          </w:tcPr>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商誉（</w:t>
            </w:r>
            <w:r>
              <w:rPr>
                <w:rFonts w:ascii="仿宋_GB2312" w:hAnsi="仿宋_GB2312" w:eastAsia="仿宋_GB2312" w:cs="仿宋_GB2312"/>
                <w:color w:val="auto"/>
                <w:sz w:val="28"/>
                <w:szCs w:val="28"/>
                <w:highlight w:val="none"/>
              </w:rPr>
              <w:t>扣除递延税负债</w:t>
            </w:r>
            <w:r>
              <w:rPr>
                <w:rFonts w:hint="eastAsia" w:ascii="仿宋_GB2312" w:hAnsi="仿宋_GB2312" w:eastAsia="仿宋_GB2312" w:cs="仿宋_GB2312"/>
                <w:color w:val="auto"/>
                <w:sz w:val="28"/>
                <w:szCs w:val="28"/>
                <w:highlight w:val="none"/>
              </w:rPr>
              <w:t>）</w:t>
            </w:r>
          </w:p>
        </w:tc>
        <w:tc>
          <w:tcPr>
            <w:tcW w:w="1907" w:type="dxa"/>
            <w:tcBorders>
              <w:right w:val="single" w:color="auto" w:sz="4" w:space="0"/>
            </w:tcBorders>
            <w:shd w:val="clear" w:color="auto" w:fill="FFFFFF"/>
            <w:vAlign w:val="center"/>
          </w:tcPr>
          <w:p>
            <w:pPr>
              <w:spacing w:line="48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p>
        </w:tc>
        <w:tc>
          <w:tcPr>
            <w:tcW w:w="6500" w:type="dxa"/>
            <w:shd w:val="clear" w:color="auto" w:fill="FFFFFF"/>
            <w:vAlign w:val="center"/>
          </w:tcPr>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其他无形资产（土地使用权除外）（扣除递延税负债）</w:t>
            </w:r>
          </w:p>
        </w:tc>
        <w:tc>
          <w:tcPr>
            <w:tcW w:w="1907" w:type="dxa"/>
            <w:tcBorders>
              <w:right w:val="single" w:color="auto" w:sz="4" w:space="0"/>
            </w:tcBorders>
            <w:shd w:val="clear" w:color="auto" w:fill="FFFFFF"/>
            <w:vAlign w:val="center"/>
          </w:tcPr>
          <w:p>
            <w:pPr>
              <w:spacing w:line="480" w:lineRule="exact"/>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278.24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p>
        </w:tc>
        <w:tc>
          <w:tcPr>
            <w:tcW w:w="6500" w:type="dxa"/>
            <w:shd w:val="clear" w:color="auto" w:fill="FFFFFF"/>
            <w:vAlign w:val="center"/>
          </w:tcPr>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TW"/>
              </w:rPr>
              <w:t>依赖未来盈利的由经营亏损引起的净递延税资产</w:t>
            </w:r>
          </w:p>
        </w:tc>
        <w:tc>
          <w:tcPr>
            <w:tcW w:w="1907" w:type="dxa"/>
            <w:tcBorders>
              <w:right w:val="single" w:color="auto" w:sz="4" w:space="0"/>
            </w:tcBorders>
            <w:shd w:val="clear" w:color="auto" w:fill="FFFFFF"/>
            <w:vAlign w:val="center"/>
          </w:tcPr>
          <w:p>
            <w:pPr>
              <w:spacing w:line="48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8</w:t>
            </w:r>
          </w:p>
        </w:tc>
        <w:tc>
          <w:tcPr>
            <w:tcW w:w="6500" w:type="dxa"/>
            <w:shd w:val="clear" w:color="auto" w:fill="FFFFFF"/>
            <w:vAlign w:val="center"/>
          </w:tcPr>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TW"/>
              </w:rPr>
              <w:t>损失准备缺口</w:t>
            </w:r>
          </w:p>
        </w:tc>
        <w:tc>
          <w:tcPr>
            <w:tcW w:w="1907" w:type="dxa"/>
            <w:tcBorders>
              <w:right w:val="single" w:color="auto" w:sz="4" w:space="0"/>
            </w:tcBorders>
            <w:shd w:val="clear" w:color="auto" w:fill="FFFFFF"/>
            <w:vAlign w:val="center"/>
          </w:tcPr>
          <w:p>
            <w:pPr>
              <w:spacing w:line="48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p>
        </w:tc>
        <w:tc>
          <w:tcPr>
            <w:tcW w:w="6500" w:type="dxa"/>
            <w:shd w:val="clear" w:color="auto" w:fill="FFFFFF"/>
            <w:vAlign w:val="center"/>
          </w:tcPr>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TW"/>
              </w:rPr>
              <w:t>直接或间接持有本银行的普通股</w:t>
            </w:r>
          </w:p>
        </w:tc>
        <w:tc>
          <w:tcPr>
            <w:tcW w:w="1907" w:type="dxa"/>
            <w:tcBorders>
              <w:right w:val="single" w:color="auto" w:sz="4" w:space="0"/>
            </w:tcBorders>
            <w:shd w:val="clear" w:color="auto" w:fill="FFFFFF"/>
            <w:vAlign w:val="center"/>
          </w:tcPr>
          <w:p>
            <w:pPr>
              <w:spacing w:line="48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10</w:t>
            </w:r>
          </w:p>
        </w:tc>
        <w:tc>
          <w:tcPr>
            <w:tcW w:w="6500" w:type="dxa"/>
            <w:shd w:val="clear" w:color="auto" w:fill="FFFFFF"/>
            <w:vAlign w:val="center"/>
          </w:tcPr>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持有的金融机构一级资本工具</w:t>
            </w:r>
          </w:p>
        </w:tc>
        <w:tc>
          <w:tcPr>
            <w:tcW w:w="1907" w:type="dxa"/>
            <w:tcBorders>
              <w:right w:val="single" w:color="auto" w:sz="4" w:space="0"/>
            </w:tcBorders>
            <w:shd w:val="clear" w:color="auto" w:fill="FFFFFF"/>
            <w:vAlign w:val="center"/>
          </w:tcPr>
          <w:p>
            <w:pPr>
              <w:spacing w:line="48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13949.47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11</w:t>
            </w:r>
          </w:p>
        </w:tc>
        <w:tc>
          <w:tcPr>
            <w:tcW w:w="6500" w:type="dxa"/>
            <w:shd w:val="clear" w:color="auto" w:fill="FFFFFF"/>
            <w:vAlign w:val="center"/>
          </w:tcPr>
          <w:p>
            <w:pPr>
              <w:spacing w:line="480" w:lineRule="exact"/>
              <w:rPr>
                <w:rFonts w:ascii="仿宋_GB2312" w:hAnsi="仿宋_GB2312" w:eastAsia="仿宋_GB2312" w:cs="仿宋_GB2312"/>
                <w:color w:val="auto"/>
                <w:sz w:val="28"/>
                <w:szCs w:val="28"/>
                <w:highlight w:val="none"/>
                <w:lang w:eastAsia="zh-TW"/>
              </w:rPr>
            </w:pPr>
            <w:r>
              <w:rPr>
                <w:rFonts w:hint="eastAsia" w:ascii="仿宋_GB2312" w:hAnsi="仿宋_GB2312" w:eastAsia="仿宋_GB2312" w:cs="仿宋_GB2312"/>
                <w:color w:val="auto"/>
                <w:sz w:val="28"/>
                <w:szCs w:val="28"/>
                <w:highlight w:val="none"/>
              </w:rPr>
              <w:t>监管规定的其他应从核心一级资本中扣除的项目合计</w:t>
            </w:r>
          </w:p>
        </w:tc>
        <w:tc>
          <w:tcPr>
            <w:tcW w:w="1907" w:type="dxa"/>
            <w:tcBorders>
              <w:right w:val="single" w:color="auto" w:sz="4" w:space="0"/>
            </w:tcBorders>
            <w:shd w:val="clear" w:color="auto" w:fill="FFFFFF"/>
            <w:vAlign w:val="center"/>
          </w:tcPr>
          <w:p>
            <w:pPr>
              <w:spacing w:line="48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13949.47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12</w:t>
            </w:r>
          </w:p>
        </w:tc>
        <w:tc>
          <w:tcPr>
            <w:tcW w:w="6500" w:type="dxa"/>
            <w:shd w:val="clear" w:color="auto" w:fill="FFFFFF"/>
            <w:vAlign w:val="center"/>
          </w:tcPr>
          <w:p>
            <w:pPr>
              <w:spacing w:line="480" w:lineRule="exact"/>
              <w:rPr>
                <w:rFonts w:ascii="仿宋_GB2312" w:hAnsi="宋体" w:eastAsia="仿宋_GB2312" w:cs="宋体"/>
                <w:b/>
                <w:bCs/>
                <w:color w:val="auto"/>
                <w:sz w:val="28"/>
                <w:szCs w:val="28"/>
                <w:highlight w:val="none"/>
              </w:rPr>
            </w:pPr>
            <w:r>
              <w:rPr>
                <w:rFonts w:hint="eastAsia" w:ascii="仿宋_GB2312" w:hAnsi="宋体" w:eastAsia="仿宋_GB2312" w:cs="宋体"/>
                <w:b/>
                <w:bCs/>
                <w:color w:val="auto"/>
                <w:sz w:val="28"/>
                <w:szCs w:val="28"/>
                <w:highlight w:val="none"/>
              </w:rPr>
              <w:t>核心一级资本监管调整总和</w:t>
            </w:r>
          </w:p>
        </w:tc>
        <w:tc>
          <w:tcPr>
            <w:tcW w:w="1907" w:type="dxa"/>
            <w:tcBorders>
              <w:right w:val="single" w:color="auto" w:sz="4" w:space="0"/>
            </w:tcBorders>
            <w:shd w:val="clear" w:color="auto" w:fill="FFFFFF"/>
            <w:vAlign w:val="center"/>
          </w:tcPr>
          <w:p>
            <w:pPr>
              <w:spacing w:line="480" w:lineRule="exact"/>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14227.71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13</w:t>
            </w:r>
          </w:p>
        </w:tc>
        <w:tc>
          <w:tcPr>
            <w:tcW w:w="6500" w:type="dxa"/>
            <w:shd w:val="clear" w:color="auto" w:fill="FFFFFF"/>
            <w:vAlign w:val="center"/>
          </w:tcPr>
          <w:p>
            <w:pPr>
              <w:spacing w:line="480" w:lineRule="exact"/>
              <w:rPr>
                <w:rFonts w:ascii="仿宋_GB2312" w:hAnsi="宋体" w:eastAsia="仿宋_GB2312" w:cs="宋体"/>
                <w:b/>
                <w:bCs/>
                <w:color w:val="auto"/>
                <w:sz w:val="28"/>
                <w:szCs w:val="28"/>
                <w:highlight w:val="none"/>
              </w:rPr>
            </w:pPr>
            <w:r>
              <w:rPr>
                <w:rFonts w:hint="eastAsia" w:ascii="仿宋_GB2312" w:hAnsi="宋体" w:eastAsia="仿宋_GB2312" w:cs="宋体"/>
                <w:b/>
                <w:bCs/>
                <w:color w:val="auto"/>
                <w:sz w:val="28"/>
                <w:szCs w:val="28"/>
                <w:highlight w:val="none"/>
              </w:rPr>
              <w:t>核心一级资本净额</w:t>
            </w:r>
          </w:p>
        </w:tc>
        <w:tc>
          <w:tcPr>
            <w:tcW w:w="1907" w:type="dxa"/>
            <w:tcBorders>
              <w:right w:val="single" w:color="auto" w:sz="4" w:space="0"/>
            </w:tcBorders>
            <w:shd w:val="clear" w:color="auto" w:fill="FFFFFF"/>
            <w:vAlign w:val="center"/>
          </w:tcPr>
          <w:p>
            <w:pPr>
              <w:spacing w:line="48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92725.18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14</w:t>
            </w:r>
          </w:p>
        </w:tc>
        <w:tc>
          <w:tcPr>
            <w:tcW w:w="6500" w:type="dxa"/>
            <w:shd w:val="clear" w:color="auto" w:fill="FFFFFF"/>
            <w:vAlign w:val="center"/>
          </w:tcPr>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监管认可的其他资本工具</w:t>
            </w:r>
          </w:p>
        </w:tc>
        <w:tc>
          <w:tcPr>
            <w:tcW w:w="1907" w:type="dxa"/>
            <w:tcBorders>
              <w:right w:val="single" w:color="auto" w:sz="4" w:space="0"/>
            </w:tcBorders>
            <w:shd w:val="clear" w:color="auto" w:fill="FFFFFF"/>
            <w:vAlign w:val="center"/>
          </w:tcPr>
          <w:p>
            <w:pPr>
              <w:spacing w:line="48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15</w:t>
            </w:r>
          </w:p>
        </w:tc>
        <w:tc>
          <w:tcPr>
            <w:tcW w:w="6500" w:type="dxa"/>
            <w:shd w:val="clear" w:color="auto" w:fill="FFFFFF"/>
            <w:vAlign w:val="center"/>
          </w:tcPr>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TW"/>
              </w:rPr>
              <w:t>超额损失准备可计入部分</w:t>
            </w:r>
          </w:p>
        </w:tc>
        <w:tc>
          <w:tcPr>
            <w:tcW w:w="1907" w:type="dxa"/>
            <w:tcBorders>
              <w:right w:val="single" w:color="auto" w:sz="4" w:space="0"/>
            </w:tcBorders>
            <w:shd w:val="clear" w:color="auto" w:fill="FFFFFF"/>
            <w:vAlign w:val="center"/>
          </w:tcPr>
          <w:p>
            <w:pPr>
              <w:spacing w:line="480" w:lineRule="exact"/>
              <w:jc w:val="center"/>
              <w:rPr>
                <w:rFonts w:hint="eastAsia" w:ascii="宋体" w:hAnsi="宋体" w:eastAsia="宋体" w:cs="宋体"/>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57313.16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shd w:val="clear" w:color="auto" w:fill="auto"/>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16</w:t>
            </w:r>
          </w:p>
        </w:tc>
        <w:tc>
          <w:tcPr>
            <w:tcW w:w="6500" w:type="dxa"/>
            <w:shd w:val="clear" w:color="auto" w:fill="FFFFFF"/>
            <w:vAlign w:val="center"/>
          </w:tcPr>
          <w:p>
            <w:pPr>
              <w:spacing w:line="480" w:lineRule="exact"/>
              <w:rPr>
                <w:rFonts w:ascii="仿宋_GB2312" w:hAnsi="宋体" w:eastAsia="仿宋_GB2312" w:cs="宋体"/>
                <w:b/>
                <w:bCs/>
                <w:color w:val="auto"/>
                <w:sz w:val="28"/>
                <w:szCs w:val="28"/>
                <w:highlight w:val="none"/>
              </w:rPr>
            </w:pPr>
            <w:r>
              <w:rPr>
                <w:rFonts w:hint="eastAsia" w:ascii="仿宋_GB2312" w:hAnsi="宋体" w:eastAsia="仿宋_GB2312" w:cs="宋体"/>
                <w:b/>
                <w:bCs/>
                <w:color w:val="auto"/>
                <w:sz w:val="28"/>
                <w:szCs w:val="28"/>
                <w:highlight w:val="none"/>
              </w:rPr>
              <w:t>监管调整前的其他资本</w:t>
            </w:r>
          </w:p>
        </w:tc>
        <w:tc>
          <w:tcPr>
            <w:tcW w:w="1907" w:type="dxa"/>
            <w:tcBorders>
              <w:right w:val="single" w:color="auto" w:sz="4" w:space="0"/>
            </w:tcBorders>
            <w:shd w:val="clear" w:color="auto" w:fill="FFFFFF"/>
            <w:vAlign w:val="center"/>
          </w:tcPr>
          <w:p>
            <w:pPr>
              <w:spacing w:line="48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17</w:t>
            </w:r>
          </w:p>
        </w:tc>
        <w:tc>
          <w:tcPr>
            <w:tcW w:w="6500" w:type="dxa"/>
            <w:vAlign w:val="center"/>
          </w:tcPr>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持有的金融机构二级资本工具</w:t>
            </w:r>
          </w:p>
        </w:tc>
        <w:tc>
          <w:tcPr>
            <w:tcW w:w="1907" w:type="dxa"/>
            <w:tcBorders>
              <w:right w:val="single" w:color="auto" w:sz="4" w:space="0"/>
            </w:tcBorders>
            <w:vAlign w:val="center"/>
          </w:tcPr>
          <w:p>
            <w:pPr>
              <w:spacing w:line="48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18</w:t>
            </w:r>
          </w:p>
        </w:tc>
        <w:tc>
          <w:tcPr>
            <w:tcW w:w="6500" w:type="dxa"/>
            <w:vAlign w:val="center"/>
          </w:tcPr>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持有本银行或第三档商业银行的其他资本工具</w:t>
            </w:r>
          </w:p>
        </w:tc>
        <w:tc>
          <w:tcPr>
            <w:tcW w:w="1907" w:type="dxa"/>
            <w:tcBorders>
              <w:right w:val="single" w:color="auto" w:sz="4" w:space="0"/>
            </w:tcBorders>
            <w:vAlign w:val="center"/>
          </w:tcPr>
          <w:p>
            <w:pPr>
              <w:spacing w:line="48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19</w:t>
            </w:r>
          </w:p>
        </w:tc>
        <w:tc>
          <w:tcPr>
            <w:tcW w:w="6500" w:type="dxa"/>
            <w:vAlign w:val="center"/>
          </w:tcPr>
          <w:p>
            <w:pPr>
              <w:spacing w:line="480" w:lineRule="exact"/>
              <w:rPr>
                <w:rFonts w:ascii="仿宋_GB2312" w:hAnsi="仿宋_GB2312" w:eastAsia="仿宋_GB2312" w:cs="仿宋_GB2312"/>
                <w:color w:val="auto"/>
                <w:sz w:val="28"/>
                <w:szCs w:val="28"/>
                <w:highlight w:val="none"/>
                <w:lang w:eastAsia="zh-TW"/>
              </w:rPr>
            </w:pPr>
            <w:r>
              <w:rPr>
                <w:rFonts w:hint="eastAsia" w:ascii="仿宋_GB2312" w:hAnsi="仿宋_GB2312" w:eastAsia="仿宋_GB2312" w:cs="仿宋_GB2312"/>
                <w:color w:val="auto"/>
                <w:sz w:val="28"/>
                <w:szCs w:val="28"/>
                <w:highlight w:val="none"/>
              </w:rPr>
              <w:t>监管规定的其他应从其他资本中扣除的项目合计</w:t>
            </w:r>
          </w:p>
        </w:tc>
        <w:tc>
          <w:tcPr>
            <w:tcW w:w="1907" w:type="dxa"/>
            <w:tcBorders>
              <w:right w:val="single" w:color="auto" w:sz="4" w:space="0"/>
            </w:tcBorders>
            <w:vAlign w:val="center"/>
          </w:tcPr>
          <w:p>
            <w:pPr>
              <w:spacing w:line="48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20</w:t>
            </w:r>
          </w:p>
        </w:tc>
        <w:tc>
          <w:tcPr>
            <w:tcW w:w="6500" w:type="dxa"/>
            <w:vAlign w:val="center"/>
          </w:tcPr>
          <w:p>
            <w:pPr>
              <w:spacing w:line="480" w:lineRule="exact"/>
              <w:rPr>
                <w:rFonts w:ascii="仿宋_GB2312" w:hAnsi="宋体" w:eastAsia="仿宋_GB2312" w:cs="宋体"/>
                <w:b/>
                <w:bCs/>
                <w:color w:val="auto"/>
                <w:sz w:val="28"/>
                <w:szCs w:val="28"/>
                <w:highlight w:val="none"/>
              </w:rPr>
            </w:pPr>
            <w:r>
              <w:rPr>
                <w:rFonts w:hint="eastAsia" w:ascii="仿宋_GB2312" w:hAnsi="宋体" w:eastAsia="仿宋_GB2312" w:cs="宋体"/>
                <w:b/>
                <w:bCs/>
                <w:color w:val="auto"/>
                <w:sz w:val="28"/>
                <w:szCs w:val="28"/>
                <w:highlight w:val="none"/>
              </w:rPr>
              <w:t>其他资本监管调整总和</w:t>
            </w:r>
          </w:p>
        </w:tc>
        <w:tc>
          <w:tcPr>
            <w:tcW w:w="1907" w:type="dxa"/>
            <w:tcBorders>
              <w:right w:val="single" w:color="auto" w:sz="4" w:space="0"/>
            </w:tcBorders>
            <w:vAlign w:val="center"/>
          </w:tcPr>
          <w:p>
            <w:pPr>
              <w:spacing w:line="48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21</w:t>
            </w:r>
          </w:p>
        </w:tc>
        <w:tc>
          <w:tcPr>
            <w:tcW w:w="6500" w:type="dxa"/>
            <w:vAlign w:val="center"/>
          </w:tcPr>
          <w:p>
            <w:pPr>
              <w:spacing w:line="480" w:lineRule="exact"/>
              <w:rPr>
                <w:rFonts w:ascii="仿宋_GB2312" w:hAnsi="宋体" w:eastAsia="仿宋_GB2312" w:cs="宋体"/>
                <w:b/>
                <w:bCs/>
                <w:color w:val="auto"/>
                <w:sz w:val="28"/>
                <w:szCs w:val="28"/>
                <w:highlight w:val="none"/>
              </w:rPr>
            </w:pPr>
            <w:r>
              <w:rPr>
                <w:rFonts w:hint="eastAsia" w:ascii="仿宋_GB2312" w:hAnsi="宋体" w:eastAsia="仿宋_GB2312" w:cs="宋体"/>
                <w:b/>
                <w:bCs/>
                <w:color w:val="auto"/>
                <w:sz w:val="28"/>
                <w:szCs w:val="28"/>
                <w:highlight w:val="none"/>
              </w:rPr>
              <w:t>其他资本净额</w:t>
            </w:r>
          </w:p>
        </w:tc>
        <w:tc>
          <w:tcPr>
            <w:tcW w:w="1907" w:type="dxa"/>
            <w:tcBorders>
              <w:right w:val="single" w:color="auto" w:sz="4" w:space="0"/>
            </w:tcBorders>
            <w:vAlign w:val="center"/>
          </w:tcPr>
          <w:p>
            <w:pPr>
              <w:spacing w:line="48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63" w:type="dxa"/>
            <w:tcBorders>
              <w:left w:val="single" w:color="auto" w:sz="4" w:space="0"/>
            </w:tcBorders>
            <w:vAlign w:val="center"/>
          </w:tcPr>
          <w:p>
            <w:pPr>
              <w:spacing w:line="480" w:lineRule="exact"/>
              <w:jc w:val="center"/>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22</w:t>
            </w:r>
          </w:p>
        </w:tc>
        <w:tc>
          <w:tcPr>
            <w:tcW w:w="6500" w:type="dxa"/>
            <w:vAlign w:val="center"/>
          </w:tcPr>
          <w:p>
            <w:pPr>
              <w:spacing w:line="480" w:lineRule="exact"/>
              <w:rPr>
                <w:rFonts w:ascii="仿宋_GB2312" w:hAnsi="宋体" w:eastAsia="仿宋_GB2312" w:cs="宋体"/>
                <w:b/>
                <w:bCs/>
                <w:color w:val="auto"/>
                <w:sz w:val="28"/>
                <w:szCs w:val="28"/>
                <w:highlight w:val="none"/>
              </w:rPr>
            </w:pPr>
            <w:r>
              <w:rPr>
                <w:rFonts w:hint="eastAsia" w:ascii="仿宋_GB2312" w:hAnsi="宋体" w:eastAsia="仿宋_GB2312" w:cs="宋体"/>
                <w:b/>
                <w:bCs/>
                <w:color w:val="auto"/>
                <w:sz w:val="28"/>
                <w:szCs w:val="28"/>
                <w:highlight w:val="none"/>
              </w:rPr>
              <w:t>总资本净额</w:t>
            </w:r>
          </w:p>
        </w:tc>
        <w:tc>
          <w:tcPr>
            <w:tcW w:w="1907" w:type="dxa"/>
            <w:tcBorders>
              <w:right w:val="single" w:color="auto" w:sz="4" w:space="0"/>
            </w:tcBorders>
            <w:vAlign w:val="center"/>
          </w:tcPr>
          <w:p>
            <w:pPr>
              <w:spacing w:line="480" w:lineRule="exact"/>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150038.34</w:t>
            </w:r>
          </w:p>
        </w:tc>
      </w:tr>
    </w:tbl>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eastAsia="楷体_GB2312"/>
          <w:b/>
          <w:sz w:val="32"/>
          <w:szCs w:val="32"/>
          <w:highlight w:val="none"/>
          <w:lang w:eastAsia="zh-CN"/>
        </w:rPr>
      </w:pPr>
      <w:r>
        <w:rPr>
          <w:rFonts w:hint="eastAsia" w:ascii="楷体_GB2312" w:eastAsia="楷体_GB2312"/>
          <w:b/>
          <w:sz w:val="32"/>
          <w:szCs w:val="32"/>
          <w:highlight w:val="none"/>
          <w:lang w:eastAsia="zh-CN"/>
        </w:rPr>
        <w:t>（三）薪酬情况</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 w:eastAsia="仿宋_GB2312"/>
          <w:b/>
          <w:bCs/>
          <w:color w:val="auto"/>
          <w:spacing w:val="0"/>
          <w:sz w:val="32"/>
          <w:szCs w:val="32"/>
          <w:highlight w:val="none"/>
          <w:lang w:eastAsia="zh-CN"/>
        </w:rPr>
      </w:pPr>
      <w:r>
        <w:rPr>
          <w:rFonts w:hint="eastAsia" w:ascii="仿宋_GB2312" w:hAnsi="仿宋" w:eastAsia="仿宋_GB2312"/>
          <w:b/>
          <w:bCs/>
          <w:color w:val="auto"/>
          <w:spacing w:val="0"/>
          <w:sz w:val="32"/>
          <w:szCs w:val="32"/>
          <w:highlight w:val="none"/>
          <w:lang w:val="en-US" w:eastAsia="zh-CN"/>
        </w:rPr>
        <w:t>1.</w:t>
      </w:r>
      <w:r>
        <w:rPr>
          <w:rFonts w:hint="eastAsia" w:ascii="仿宋_GB2312" w:hAnsi="仿宋" w:eastAsia="仿宋_GB2312"/>
          <w:b/>
          <w:bCs/>
          <w:color w:val="auto"/>
          <w:spacing w:val="0"/>
          <w:sz w:val="32"/>
          <w:szCs w:val="32"/>
          <w:highlight w:val="none"/>
        </w:rPr>
        <w:t>薪酬</w:t>
      </w:r>
      <w:r>
        <w:rPr>
          <w:rFonts w:hint="eastAsia" w:ascii="仿宋_GB2312" w:hAnsi="仿宋" w:eastAsia="仿宋_GB2312"/>
          <w:b/>
          <w:bCs/>
          <w:color w:val="auto"/>
          <w:spacing w:val="0"/>
          <w:sz w:val="32"/>
          <w:szCs w:val="32"/>
          <w:highlight w:val="none"/>
          <w:lang w:eastAsia="zh-CN"/>
        </w:rPr>
        <w:t>管理框架及决策程序</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olor w:val="auto"/>
          <w:spacing w:val="0"/>
          <w:sz w:val="32"/>
          <w:szCs w:val="32"/>
          <w:highlight w:val="none"/>
        </w:rPr>
      </w:pPr>
      <w:r>
        <w:rPr>
          <w:rFonts w:hint="eastAsia" w:ascii="仿宋_GB2312" w:hAnsi="仿宋" w:eastAsia="仿宋_GB2312"/>
          <w:color w:val="auto"/>
          <w:spacing w:val="0"/>
          <w:sz w:val="32"/>
          <w:szCs w:val="32"/>
          <w:highlight w:val="none"/>
        </w:rPr>
        <w:t>本公司董事会对薪酬管理负最终责任，董事会下设提名与薪酬委员会负责研究和审查董事及高级管理人员的薪酬政策与方案。提名与薪酬委员会由5名董事组成，主任委员由独立董事担任。人力资源部为薪酬管理实施部门。</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 w:eastAsia="仿宋_GB2312"/>
          <w:b/>
          <w:bCs/>
          <w:color w:val="auto"/>
          <w:spacing w:val="0"/>
          <w:sz w:val="32"/>
          <w:szCs w:val="32"/>
          <w:highlight w:val="none"/>
          <w:lang w:val="en-US" w:eastAsia="zh-CN"/>
        </w:rPr>
      </w:pPr>
      <w:r>
        <w:rPr>
          <w:rFonts w:hint="eastAsia" w:ascii="仿宋_GB2312" w:hAnsi="仿宋" w:eastAsia="仿宋_GB2312"/>
          <w:b/>
          <w:bCs/>
          <w:color w:val="auto"/>
          <w:spacing w:val="0"/>
          <w:sz w:val="32"/>
          <w:szCs w:val="32"/>
          <w:highlight w:val="none"/>
          <w:lang w:val="en-US" w:eastAsia="zh-CN"/>
        </w:rPr>
        <w:t>2.年度薪酬总量、受益人及薪酬结构分布</w:t>
      </w:r>
    </w:p>
    <w:p>
      <w:pPr>
        <w:pStyle w:val="5"/>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lang w:val="en-US" w:eastAsia="zh-CN"/>
        </w:rPr>
      </w:pPr>
      <w:r>
        <w:rPr>
          <w:rFonts w:hint="eastAsia" w:ascii="仿宋_GB2312" w:hAnsi="仿宋" w:eastAsia="仿宋_GB2312" w:cs="Times New Roman"/>
          <w:color w:val="auto"/>
          <w:spacing w:val="0"/>
          <w:kern w:val="2"/>
          <w:sz w:val="32"/>
          <w:szCs w:val="32"/>
          <w:highlight w:val="none"/>
          <w:lang w:val="en-US" w:eastAsia="zh-CN" w:bidi="ar-SA"/>
        </w:rPr>
        <w:t>报告期内，本行基本薪酬1444万元。</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 w:eastAsia="仿宋_GB2312"/>
          <w:b/>
          <w:bCs/>
          <w:color w:val="auto"/>
          <w:spacing w:val="0"/>
          <w:sz w:val="32"/>
          <w:szCs w:val="32"/>
          <w:highlight w:val="none"/>
          <w:lang w:val="en-US" w:eastAsia="zh-CN"/>
        </w:rPr>
      </w:pPr>
      <w:r>
        <w:rPr>
          <w:rFonts w:hint="eastAsia" w:ascii="仿宋_GB2312" w:hAnsi="仿宋" w:eastAsia="仿宋_GB2312"/>
          <w:b/>
          <w:bCs/>
          <w:color w:val="auto"/>
          <w:spacing w:val="0"/>
          <w:sz w:val="32"/>
          <w:szCs w:val="32"/>
          <w:highlight w:val="none"/>
          <w:lang w:val="en-US" w:eastAsia="zh-CN"/>
        </w:rPr>
        <w:t>3.薪酬与业绩衡量、风险调整的标准</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00B0F0"/>
          <w:sz w:val="32"/>
          <w:szCs w:val="32"/>
          <w:highlight w:val="none"/>
          <w:lang w:eastAsia="zh-CN"/>
        </w:rPr>
      </w:pPr>
      <w:r>
        <w:rPr>
          <w:rFonts w:hint="eastAsia" w:ascii="仿宋_GB2312" w:eastAsia="仿宋_GB2312"/>
          <w:sz w:val="32"/>
          <w:szCs w:val="32"/>
          <w:highlight w:val="none"/>
          <w:lang w:eastAsia="zh-CN"/>
        </w:rPr>
        <w:t>本行薪酬制定坚持“合规管理、风险可控”的原则，统筹业务发展与风险防控，做到稳健经营、合规引领，建立兼顾效益与风险，</w:t>
      </w:r>
      <w:r>
        <w:rPr>
          <w:rFonts w:hint="eastAsia" w:ascii="仿宋_GB2312" w:eastAsia="仿宋_GB2312"/>
          <w:color w:val="auto"/>
          <w:sz w:val="32"/>
          <w:szCs w:val="32"/>
          <w:highlight w:val="none"/>
          <w:lang w:eastAsia="zh-CN"/>
        </w:rPr>
        <w:t>当期成果与可持续发展的绩效考核指标体系，全</w:t>
      </w:r>
      <w:r>
        <w:rPr>
          <w:rFonts w:hint="eastAsia" w:ascii="仿宋_GB2312" w:eastAsia="仿宋_GB2312"/>
          <w:sz w:val="32"/>
          <w:szCs w:val="32"/>
          <w:highlight w:val="none"/>
          <w:lang w:eastAsia="zh-CN"/>
        </w:rPr>
        <w:t>面客观地实施绩效考核。</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 w:eastAsia="仿宋_GB2312"/>
          <w:b/>
          <w:bCs/>
          <w:color w:val="auto"/>
          <w:spacing w:val="0"/>
          <w:sz w:val="32"/>
          <w:szCs w:val="32"/>
          <w:highlight w:val="none"/>
          <w:lang w:val="en-US" w:eastAsia="zh-CN"/>
        </w:rPr>
      </w:pPr>
      <w:r>
        <w:rPr>
          <w:rFonts w:hint="eastAsia" w:ascii="仿宋_GB2312" w:hAnsi="仿宋" w:eastAsia="仿宋_GB2312"/>
          <w:b/>
          <w:bCs/>
          <w:color w:val="auto"/>
          <w:spacing w:val="0"/>
          <w:sz w:val="32"/>
          <w:szCs w:val="32"/>
          <w:highlight w:val="none"/>
          <w:lang w:val="en-US" w:eastAsia="zh-CN"/>
        </w:rPr>
        <w:t>4.薪酬延期支付和非现金薪酬情况</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根据《商业银行稳健薪酬监管指引》规定,对高级管理人员及关键岗位人员绩效薪酬进行延期支付，延期支付薪酬按有关规定兑付。高级管理人员和关键岗位人员因存在明显过失或未尽到审慎管理义务，导致职责范围内风险超常暴露的，本公司可以追索扣回其相应期限内的绩效薪酬。报告期内，本公司未执行非现金薪酬。</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 w:eastAsia="仿宋_GB2312"/>
          <w:b/>
          <w:bCs/>
          <w:color w:val="auto"/>
          <w:spacing w:val="0"/>
          <w:sz w:val="32"/>
          <w:szCs w:val="32"/>
          <w:highlight w:val="none"/>
          <w:lang w:val="en-US" w:eastAsia="zh-CN"/>
        </w:rPr>
      </w:pPr>
      <w:r>
        <w:rPr>
          <w:rFonts w:hint="eastAsia" w:ascii="仿宋_GB2312" w:hAnsi="仿宋" w:eastAsia="仿宋_GB2312"/>
          <w:b/>
          <w:bCs/>
          <w:color w:val="auto"/>
          <w:spacing w:val="0"/>
          <w:sz w:val="32"/>
          <w:szCs w:val="32"/>
          <w:highlight w:val="none"/>
          <w:lang w:val="en-US" w:eastAsia="zh-CN"/>
        </w:rPr>
        <w:t>5.董事会、高级管理层和对银行风险有重要影响岗位员工薪酬情况</w:t>
      </w:r>
    </w:p>
    <w:p>
      <w:pPr>
        <w:pStyle w:val="5"/>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202</w:t>
      </w:r>
      <w:r>
        <w:rPr>
          <w:rFonts w:hint="eastAsia" w:ascii="仿宋_GB2312" w:eastAsia="仿宋_GB2312" w:cs="Times New Roman"/>
          <w:kern w:val="2"/>
          <w:sz w:val="32"/>
          <w:szCs w:val="32"/>
          <w:highlight w:val="none"/>
          <w:lang w:val="en-US" w:eastAsia="zh-CN" w:bidi="ar-SA"/>
        </w:rPr>
        <w:t>5</w:t>
      </w:r>
      <w:r>
        <w:rPr>
          <w:rFonts w:hint="eastAsia" w:ascii="仿宋_GB2312" w:hAnsi="Times New Roman" w:eastAsia="仿宋_GB2312" w:cs="Times New Roman"/>
          <w:kern w:val="2"/>
          <w:sz w:val="32"/>
          <w:szCs w:val="32"/>
          <w:highlight w:val="none"/>
          <w:lang w:val="en-US" w:eastAsia="zh-CN" w:bidi="ar-SA"/>
        </w:rPr>
        <w:t>年度，</w:t>
      </w:r>
      <w:r>
        <w:rPr>
          <w:rFonts w:hint="eastAsia" w:ascii="仿宋_GB2312" w:eastAsia="仿宋_GB2312" w:cs="Times New Roman"/>
          <w:kern w:val="2"/>
          <w:sz w:val="32"/>
          <w:szCs w:val="32"/>
          <w:highlight w:val="none"/>
          <w:lang w:val="en-US" w:eastAsia="zh-CN" w:bidi="ar-SA"/>
        </w:rPr>
        <w:t>本行董事会、高级管理层等关键管理人员薪酬按照省行核定标准计发，本行绩效薪酬分配倾向于对风险有重要影响岗位和一线创造效益的员工。</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 w:eastAsia="仿宋_GB2312"/>
          <w:b/>
          <w:bCs/>
          <w:color w:val="auto"/>
          <w:spacing w:val="0"/>
          <w:sz w:val="32"/>
          <w:szCs w:val="32"/>
          <w:highlight w:val="none"/>
          <w:lang w:val="en-US" w:eastAsia="zh-CN"/>
        </w:rPr>
      </w:pPr>
      <w:r>
        <w:rPr>
          <w:rFonts w:hint="eastAsia" w:ascii="仿宋_GB2312" w:hAnsi="仿宋" w:eastAsia="仿宋_GB2312"/>
          <w:b/>
          <w:bCs/>
          <w:color w:val="auto"/>
          <w:spacing w:val="0"/>
          <w:sz w:val="32"/>
          <w:szCs w:val="32"/>
          <w:highlight w:val="none"/>
          <w:lang w:val="en-US" w:eastAsia="zh-CN"/>
        </w:rPr>
        <w:t>6.年度薪酬方案制定、备案及经济、风险和社会责任指标完成考核情况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年度，本行严格遵照《商业银行稳健薪酬监管指引》《关于建立完善银行保险机构绩效薪酬追索扣回机制指导意见》等相关规定，</w:t>
      </w:r>
      <w:r>
        <w:rPr>
          <w:rFonts w:hint="eastAsia" w:ascii="仿宋_GB2312" w:eastAsia="仿宋_GB2312"/>
          <w:sz w:val="32"/>
          <w:szCs w:val="32"/>
          <w:highlight w:val="none"/>
          <w:lang w:eastAsia="zh-CN"/>
        </w:rPr>
        <w:t>制定《寻乌农商银行202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年绩效考核方案》</w:t>
      </w:r>
      <w:r>
        <w:rPr>
          <w:rFonts w:hint="eastAsia" w:ascii="仿宋_GB2312" w:eastAsia="仿宋_GB2312"/>
          <w:sz w:val="32"/>
          <w:szCs w:val="32"/>
          <w:highlight w:val="none"/>
          <w:lang w:val="en-US" w:eastAsia="zh-CN"/>
        </w:rPr>
        <w:t>及《寻乌农商银行绩效薪酬延期支付和追索扣回管理办法》</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薪酬</w:t>
      </w:r>
      <w:r>
        <w:rPr>
          <w:rFonts w:hint="eastAsia" w:ascii="仿宋_GB2312" w:eastAsia="仿宋_GB2312"/>
          <w:sz w:val="32"/>
          <w:szCs w:val="32"/>
          <w:highlight w:val="none"/>
        </w:rPr>
        <w:t>考核内容覆盖合规经营、风险管理、经营效益、转型发展和社会责任五大类指标。</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 w:eastAsia="仿宋_GB2312"/>
          <w:b/>
          <w:bCs/>
          <w:color w:val="auto"/>
          <w:spacing w:val="0"/>
          <w:sz w:val="32"/>
          <w:szCs w:val="32"/>
          <w:highlight w:val="none"/>
          <w:lang w:val="en-US" w:eastAsia="zh-CN"/>
        </w:rPr>
      </w:pPr>
      <w:r>
        <w:rPr>
          <w:rFonts w:hint="eastAsia" w:ascii="仿宋_GB2312" w:hAnsi="仿宋" w:eastAsia="仿宋_GB2312"/>
          <w:b/>
          <w:bCs/>
          <w:color w:val="auto"/>
          <w:spacing w:val="0"/>
          <w:sz w:val="32"/>
          <w:szCs w:val="32"/>
          <w:highlight w:val="none"/>
          <w:lang w:val="en-US" w:eastAsia="zh-CN"/>
        </w:rPr>
        <w:t>7.超出原定薪酬方案的例外情况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
        </w:rPr>
      </w:pPr>
      <w:r>
        <w:rPr>
          <w:rFonts w:hint="eastAsia" w:ascii="仿宋_GB2312" w:hAnsi="仿宋_GB2312" w:eastAsia="仿宋_GB2312" w:cs="仿宋_GB2312"/>
          <w:b w:val="0"/>
          <w:bCs w:val="0"/>
          <w:kern w:val="2"/>
          <w:sz w:val="32"/>
          <w:szCs w:val="32"/>
          <w:highlight w:val="none"/>
          <w:lang w:val="en-US" w:eastAsia="zh-CN" w:bidi="ar"/>
        </w:rPr>
        <w:t>报告期内，本行无超出原定薪酬方案的例外情况。</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eastAsia="楷体_GB2312"/>
          <w:b/>
          <w:color w:val="FF0000"/>
          <w:sz w:val="32"/>
          <w:szCs w:val="32"/>
          <w:highlight w:val="none"/>
          <w:lang w:eastAsia="zh-CN"/>
        </w:rPr>
      </w:pPr>
      <w:r>
        <w:rPr>
          <w:rFonts w:hint="eastAsia" w:ascii="楷体_GB2312" w:eastAsia="楷体_GB2312"/>
          <w:b/>
          <w:sz w:val="32"/>
          <w:szCs w:val="32"/>
          <w:highlight w:val="none"/>
          <w:lang w:val="en-US" w:eastAsia="zh-CN"/>
        </w:rPr>
        <w:t>（四）其他</w:t>
      </w:r>
      <w:r>
        <w:rPr>
          <w:rFonts w:hint="eastAsia" w:ascii="楷体_GB2312" w:eastAsia="楷体_GB2312"/>
          <w:b/>
          <w:sz w:val="32"/>
          <w:szCs w:val="32"/>
          <w:highlight w:val="none"/>
          <w:lang w:eastAsia="zh-CN"/>
        </w:rPr>
        <w:t>重要事项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Times New Roman" w:eastAsia="仿宋_GB2312" w:cs="Times New Roman"/>
          <w:sz w:val="32"/>
          <w:szCs w:val="32"/>
          <w:highlight w:val="none"/>
        </w:rPr>
      </w:pPr>
      <w:r>
        <w:rPr>
          <w:rFonts w:hint="eastAsia" w:ascii="仿宋_GB2312" w:eastAsia="仿宋_GB2312" w:cs="Times New Roman"/>
          <w:sz w:val="32"/>
          <w:szCs w:val="32"/>
          <w:highlight w:val="none"/>
          <w:lang w:val="en-US" w:eastAsia="zh-CN"/>
        </w:rPr>
        <w:t>1.</w:t>
      </w:r>
      <w:r>
        <w:rPr>
          <w:rFonts w:hint="eastAsia" w:ascii="仿宋_GB2312" w:hAnsi="Times New Roman" w:eastAsia="仿宋_GB2312" w:cs="Times New Roman"/>
          <w:sz w:val="32"/>
          <w:szCs w:val="32"/>
          <w:highlight w:val="none"/>
        </w:rPr>
        <w:t>报告期内，无重大诉讼、仲裁事项。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Times New Roman" w:eastAsia="仿宋_GB2312" w:cs="Times New Roman"/>
          <w:sz w:val="32"/>
          <w:szCs w:val="32"/>
          <w:highlight w:val="none"/>
        </w:rPr>
      </w:pPr>
      <w:r>
        <w:rPr>
          <w:rFonts w:hint="eastAsia" w:ascii="仿宋_GB2312" w:eastAsia="仿宋_GB2312" w:cs="Times New Roman"/>
          <w:sz w:val="32"/>
          <w:szCs w:val="32"/>
          <w:highlight w:val="none"/>
          <w:lang w:val="en-US" w:eastAsia="zh-CN"/>
        </w:rPr>
        <w:t>2.</w:t>
      </w:r>
      <w:r>
        <w:rPr>
          <w:rFonts w:hint="eastAsia" w:ascii="仿宋_GB2312" w:hAnsi="Times New Roman" w:eastAsia="仿宋_GB2312" w:cs="Times New Roman"/>
          <w:sz w:val="32"/>
          <w:szCs w:val="32"/>
          <w:highlight w:val="none"/>
        </w:rPr>
        <w:t>报告期内，未发生重大案件、重大差错等情况。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rPr>
        <w:t>报告期内本行各项业务合同履行情况正常，无重大合同纠纷发生。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5.</w:t>
      </w:r>
      <w:r>
        <w:rPr>
          <w:rFonts w:ascii="仿宋_GB2312" w:eastAsia="仿宋_GB2312"/>
          <w:color w:val="auto"/>
          <w:sz w:val="32"/>
          <w:szCs w:val="32"/>
          <w:highlight w:val="none"/>
        </w:rPr>
        <w:t>报告期内，因工作调整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刘志文同志担任寻乌农商银行董事长，赵宽同志</w:t>
      </w:r>
      <w:r>
        <w:rPr>
          <w:rFonts w:hint="eastAsia" w:ascii="仿宋_GB2312" w:eastAsia="仿宋_GB2312"/>
          <w:color w:val="auto"/>
          <w:sz w:val="32"/>
          <w:szCs w:val="32"/>
          <w:highlight w:val="none"/>
          <w:lang w:eastAsia="zh-CN"/>
        </w:rPr>
        <w:t>担任寻乌农商银行</w:t>
      </w:r>
      <w:r>
        <w:rPr>
          <w:rFonts w:hint="eastAsia" w:ascii="仿宋_GB2312" w:eastAsia="仿宋_GB2312"/>
          <w:color w:val="auto"/>
          <w:sz w:val="32"/>
          <w:szCs w:val="32"/>
          <w:highlight w:val="none"/>
          <w:lang w:val="en-US" w:eastAsia="zh-CN"/>
        </w:rPr>
        <w:t>行长；曾海金同志不再担任寻乌农商银行董事长职务</w:t>
      </w:r>
      <w:r>
        <w:rPr>
          <w:rFonts w:hint="eastAsia" w:ascii="仿宋_GB2312"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rPr>
        <w:t>除上述事项外，截至202</w:t>
      </w:r>
      <w:r>
        <w:rPr>
          <w:rFonts w:hint="eastAsia" w:ascii="仿宋_GB2312"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rPr>
        <w:t>年12月31日，本行无需要披露的其他重要事项。</w:t>
      </w: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D5C0D8-A2F1-49B7-BBDE-557D893C0B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0" w:usb1="00000000" w:usb2="00000000" w:usb3="00000000" w:csb0="00000000" w:csb1="00000000"/>
    <w:embedRegular r:id="rId2" w:fontKey="{024CD413-6745-406D-84AC-D467D1420B33}"/>
  </w:font>
  <w:font w:name="方正大标宋简体">
    <w:altName w:val="Arial Unicode MS"/>
    <w:panose1 w:val="02010601030101010101"/>
    <w:charset w:val="86"/>
    <w:family w:val="auto"/>
    <w:pitch w:val="default"/>
    <w:sig w:usb0="00000000" w:usb1="00000000" w:usb2="00000000" w:usb3="00000000" w:csb0="00040000" w:csb1="00000000"/>
    <w:embedRegular r:id="rId3" w:fontKey="{A5A115DA-2B2E-4A52-AC42-1E5994724DAF}"/>
  </w:font>
  <w:font w:name="楷体">
    <w:panose1 w:val="02010609060101010101"/>
    <w:charset w:val="86"/>
    <w:family w:val="auto"/>
    <w:pitch w:val="default"/>
    <w:sig w:usb0="800002BF" w:usb1="38CF7CFA" w:usb2="00000016" w:usb3="00000000" w:csb0="00040001" w:csb1="00000000"/>
    <w:embedRegular r:id="rId4" w:fontKey="{AB9CE6FC-E065-4BE3-83D1-626273E81E9C}"/>
  </w:font>
  <w:font w:name="仿宋">
    <w:panose1 w:val="02010609060101010101"/>
    <w:charset w:val="86"/>
    <w:family w:val="auto"/>
    <w:pitch w:val="default"/>
    <w:sig w:usb0="800002BF" w:usb1="38CF7CFA" w:usb2="00000016" w:usb3="00000000" w:csb0="00040001" w:csb1="00000000"/>
    <w:embedRegular r:id="rId5" w:fontKey="{86A43BD0-1EA5-48AA-B8E8-FBEA360822B2}"/>
  </w:font>
  <w:font w:name="楷体_GB2312">
    <w:panose1 w:val="02010609030101010101"/>
    <w:charset w:val="86"/>
    <w:family w:val="modern"/>
    <w:pitch w:val="default"/>
    <w:sig w:usb0="00000000" w:usb1="00000000" w:usb2="00000000" w:usb3="00000000" w:csb0="00000000" w:csb1="00000000"/>
    <w:embedRegular r:id="rId6" w:fontKey="{E05C2CE0-456C-44AA-870E-AEBAB3073534}"/>
  </w:font>
  <w:font w:name="Arial Unicode MS">
    <w:panose1 w:val="020B0604020202020204"/>
    <w:charset w:val="80"/>
    <w:family w:val="swiss"/>
    <w:pitch w:val="default"/>
    <w:sig w:usb0="00000000" w:usb1="00000000" w:usb2="00000000" w:usb3="00000000" w:csb0="00000000" w:csb1="00000000"/>
    <w:embedRegular r:id="rId7" w:fontKey="{6D8C9F8A-DB3A-46C3-912C-CD11FE326BC2}"/>
  </w:font>
  <w:font w:name="微软雅黑">
    <w:panose1 w:val="020B0503020204020204"/>
    <w:charset w:val="86"/>
    <w:family w:val="auto"/>
    <w:pitch w:val="default"/>
    <w:sig w:usb0="80000287" w:usb1="2ACF3C50" w:usb2="00000016" w:usb3="00000000" w:csb0="0004001F" w:csb1="00000000"/>
  </w:font>
  <w:font w:name="华康乾隆行楷 Std W7">
    <w:altName w:val="楷体_GB2312"/>
    <w:panose1 w:val="03000700000000000000"/>
    <w:charset w:val="86"/>
    <w:family w:val="auto"/>
    <w:pitch w:val="default"/>
    <w:sig w:usb0="00000000" w:usb1="00000000" w:usb2="00000012" w:usb3="00000000" w:csb0="0004000D"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康少女文字 Std W5">
    <w:altName w:val="宋体"/>
    <w:panose1 w:val="04000500000000000000"/>
    <w:charset w:val="86"/>
    <w:family w:val="auto"/>
    <w:pitch w:val="default"/>
    <w:sig w:usb0="00000000" w:usb1="00000000" w:usb2="00000012" w:usb3="00000000" w:csb0="0004000D" w:csb1="00000000"/>
  </w:font>
  <w:font w:name="Calibri Light">
    <w:panose1 w:val="020F0302020204030204"/>
    <w:charset w:val="00"/>
    <w:family w:val="auto"/>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华康手札体 Std W7">
    <w:altName w:val="宋体"/>
    <w:panose1 w:val="03000700000000000000"/>
    <w:charset w:val="86"/>
    <w:family w:val="auto"/>
    <w:pitch w:val="default"/>
    <w:sig w:usb0="00000000" w:usb1="00000000" w:usb2="00000012" w:usb3="00000000" w:csb0="0004000D" w:csb1="00000000"/>
  </w:font>
  <w:font w:name="华康竹风体 Std W4">
    <w:altName w:val="宋体"/>
    <w:panose1 w:val="03000400000000000000"/>
    <w:charset w:val="86"/>
    <w:family w:val="auto"/>
    <w:pitch w:val="default"/>
    <w:sig w:usb0="00000000" w:usb1="00000000" w:usb2="00000012" w:usb3="00000000" w:csb0="0004000D" w:csb1="00000000"/>
  </w:font>
  <w:font w:name="华文中宋">
    <w:panose1 w:val="02010600040101010101"/>
    <w:charset w:val="86"/>
    <w:family w:val="auto"/>
    <w:pitch w:val="default"/>
    <w:sig w:usb0="00000287" w:usb1="080F0000" w:usb2="00000000" w:usb3="00000000" w:csb0="0004009F" w:csb1="DFD70000"/>
  </w:font>
  <w:font w:name="华康娃娃体 Std W5">
    <w:altName w:val="宋体"/>
    <w:panose1 w:val="040B0500000000000000"/>
    <w:charset w:val="86"/>
    <w:family w:val="auto"/>
    <w:pitch w:val="default"/>
    <w:sig w:usb0="00000000" w:usb1="00000000" w:usb2="00000012" w:usb3="00000000" w:csb0="0004000D"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00"/>
    <w:family w:val="auto"/>
    <w:pitch w:val="default"/>
    <w:sig w:usb0="00000000" w:usb1="00000000" w:usb2="00000000" w:usb3="00000000" w:csb0="00000000" w:csb1="00000000"/>
  </w:font>
  <w:font w:name="Arial Unicode MS">
    <w:panose1 w:val="020B0604020202020204"/>
    <w:charset w:val="86"/>
    <w:family w:val="auto"/>
    <w:pitch w:val="default"/>
    <w:sig w:usb0="00000000" w:usb1="00000000" w:usb2="00000000" w:usb3="00000000" w:csb0="00000000" w:csb1="00000000"/>
  </w:font>
  <w:font w:name="楷体_GB2312">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110F5"/>
    <w:multiLevelType w:val="singleLevel"/>
    <w:tmpl w:val="667110F5"/>
    <w:lvl w:ilvl="0" w:tentative="0">
      <w:start w:val="3"/>
      <w:numFmt w:val="chineseCounting"/>
      <w:suff w:val="nothing"/>
      <w:lvlText w:val="%1、"/>
      <w:lvlJc w:val="left"/>
    </w:lvl>
  </w:abstractNum>
  <w:abstractNum w:abstractNumId="1">
    <w:nsid w:val="683D5397"/>
    <w:multiLevelType w:val="singleLevel"/>
    <w:tmpl w:val="683D5397"/>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ZjA5YTE3NGRmNTE2NTVjZmE1Mjg0MzNiNDg5MTMifQ=="/>
  </w:docVars>
  <w:rsids>
    <w:rsidRoot w:val="21187439"/>
    <w:rsid w:val="00A7213D"/>
    <w:rsid w:val="00CF7B33"/>
    <w:rsid w:val="00F117E7"/>
    <w:rsid w:val="01D7278C"/>
    <w:rsid w:val="020F477C"/>
    <w:rsid w:val="026904D7"/>
    <w:rsid w:val="031545BC"/>
    <w:rsid w:val="034A3C76"/>
    <w:rsid w:val="039A54B6"/>
    <w:rsid w:val="03C2759E"/>
    <w:rsid w:val="045370E4"/>
    <w:rsid w:val="04E37CBE"/>
    <w:rsid w:val="04E6781C"/>
    <w:rsid w:val="04F15178"/>
    <w:rsid w:val="0537073D"/>
    <w:rsid w:val="05526554"/>
    <w:rsid w:val="061C0799"/>
    <w:rsid w:val="06C844D1"/>
    <w:rsid w:val="07563E24"/>
    <w:rsid w:val="084560A8"/>
    <w:rsid w:val="085751F0"/>
    <w:rsid w:val="0918763F"/>
    <w:rsid w:val="095C5BE8"/>
    <w:rsid w:val="09F93AE5"/>
    <w:rsid w:val="0C1024FF"/>
    <w:rsid w:val="0D933D59"/>
    <w:rsid w:val="0E311E61"/>
    <w:rsid w:val="0E393917"/>
    <w:rsid w:val="0E505145"/>
    <w:rsid w:val="0EF26759"/>
    <w:rsid w:val="102F78F5"/>
    <w:rsid w:val="1034056B"/>
    <w:rsid w:val="10781E41"/>
    <w:rsid w:val="10881159"/>
    <w:rsid w:val="10BC222F"/>
    <w:rsid w:val="10FB54F9"/>
    <w:rsid w:val="10FE1064"/>
    <w:rsid w:val="11422102"/>
    <w:rsid w:val="11C112BE"/>
    <w:rsid w:val="11E17A29"/>
    <w:rsid w:val="12841016"/>
    <w:rsid w:val="12B16E4A"/>
    <w:rsid w:val="136A2AEB"/>
    <w:rsid w:val="138A577E"/>
    <w:rsid w:val="13F32E07"/>
    <w:rsid w:val="143D5177"/>
    <w:rsid w:val="144B736C"/>
    <w:rsid w:val="14715F71"/>
    <w:rsid w:val="147A25D2"/>
    <w:rsid w:val="14AA216D"/>
    <w:rsid w:val="14D92E5B"/>
    <w:rsid w:val="14FB0BE0"/>
    <w:rsid w:val="15050FA8"/>
    <w:rsid w:val="152C6B8A"/>
    <w:rsid w:val="161B184E"/>
    <w:rsid w:val="16BF095E"/>
    <w:rsid w:val="17413658"/>
    <w:rsid w:val="17C84DD7"/>
    <w:rsid w:val="17D97737"/>
    <w:rsid w:val="18A3607E"/>
    <w:rsid w:val="18F10BBF"/>
    <w:rsid w:val="18F55FDC"/>
    <w:rsid w:val="19445ABB"/>
    <w:rsid w:val="19794D37"/>
    <w:rsid w:val="19AD4CED"/>
    <w:rsid w:val="19F46DBD"/>
    <w:rsid w:val="1A840E6A"/>
    <w:rsid w:val="1AC478D4"/>
    <w:rsid w:val="1ACF6C99"/>
    <w:rsid w:val="1B1C34C7"/>
    <w:rsid w:val="1B645BF9"/>
    <w:rsid w:val="1B7360DF"/>
    <w:rsid w:val="1C7D1E5D"/>
    <w:rsid w:val="1C81418F"/>
    <w:rsid w:val="1CB7261F"/>
    <w:rsid w:val="1CF446B2"/>
    <w:rsid w:val="1D126A49"/>
    <w:rsid w:val="1D554AB5"/>
    <w:rsid w:val="1D7F3804"/>
    <w:rsid w:val="1D9865AE"/>
    <w:rsid w:val="1DB20011"/>
    <w:rsid w:val="1DE22714"/>
    <w:rsid w:val="1E0B7E49"/>
    <w:rsid w:val="1ED514ED"/>
    <w:rsid w:val="1EFB689C"/>
    <w:rsid w:val="1F0B69A1"/>
    <w:rsid w:val="1FA653FC"/>
    <w:rsid w:val="1FBA15B0"/>
    <w:rsid w:val="20947289"/>
    <w:rsid w:val="21187439"/>
    <w:rsid w:val="21A7288B"/>
    <w:rsid w:val="227028F7"/>
    <w:rsid w:val="227117B0"/>
    <w:rsid w:val="22A15BF1"/>
    <w:rsid w:val="22ED3A6B"/>
    <w:rsid w:val="22FE1AFE"/>
    <w:rsid w:val="239671C7"/>
    <w:rsid w:val="239C5DB4"/>
    <w:rsid w:val="23C230A1"/>
    <w:rsid w:val="23C64B15"/>
    <w:rsid w:val="23F60314"/>
    <w:rsid w:val="240769FB"/>
    <w:rsid w:val="24561F70"/>
    <w:rsid w:val="24DD67FD"/>
    <w:rsid w:val="25C33197"/>
    <w:rsid w:val="25D24016"/>
    <w:rsid w:val="25E11740"/>
    <w:rsid w:val="26354C2D"/>
    <w:rsid w:val="26515D8D"/>
    <w:rsid w:val="26847C55"/>
    <w:rsid w:val="27167136"/>
    <w:rsid w:val="271E5306"/>
    <w:rsid w:val="275D7BB1"/>
    <w:rsid w:val="27C16861"/>
    <w:rsid w:val="27D46E2A"/>
    <w:rsid w:val="28034AB8"/>
    <w:rsid w:val="280B262F"/>
    <w:rsid w:val="299247F3"/>
    <w:rsid w:val="29957957"/>
    <w:rsid w:val="29AA30F7"/>
    <w:rsid w:val="29F73454"/>
    <w:rsid w:val="2A597C8E"/>
    <w:rsid w:val="2AA07D78"/>
    <w:rsid w:val="2AFE57E5"/>
    <w:rsid w:val="2B8874C5"/>
    <w:rsid w:val="2C471F68"/>
    <w:rsid w:val="2CB40D0E"/>
    <w:rsid w:val="2D39750F"/>
    <w:rsid w:val="2D47253A"/>
    <w:rsid w:val="2D8F3594"/>
    <w:rsid w:val="2E270A5E"/>
    <w:rsid w:val="2EFE0DBA"/>
    <w:rsid w:val="2FD7103B"/>
    <w:rsid w:val="306E533B"/>
    <w:rsid w:val="31104E90"/>
    <w:rsid w:val="316164CC"/>
    <w:rsid w:val="327754EF"/>
    <w:rsid w:val="32A55811"/>
    <w:rsid w:val="32C0126C"/>
    <w:rsid w:val="33441A62"/>
    <w:rsid w:val="341F030B"/>
    <w:rsid w:val="343C30AD"/>
    <w:rsid w:val="34456CD0"/>
    <w:rsid w:val="34E3087A"/>
    <w:rsid w:val="35490E0E"/>
    <w:rsid w:val="359F4712"/>
    <w:rsid w:val="35F7640E"/>
    <w:rsid w:val="36884CA7"/>
    <w:rsid w:val="36F249C1"/>
    <w:rsid w:val="36FF1B7F"/>
    <w:rsid w:val="371179C4"/>
    <w:rsid w:val="372D265B"/>
    <w:rsid w:val="37415FEF"/>
    <w:rsid w:val="37703889"/>
    <w:rsid w:val="37C76943"/>
    <w:rsid w:val="38217626"/>
    <w:rsid w:val="38AF3DA3"/>
    <w:rsid w:val="38C16934"/>
    <w:rsid w:val="38F2031F"/>
    <w:rsid w:val="3959789C"/>
    <w:rsid w:val="39647724"/>
    <w:rsid w:val="39A64E5F"/>
    <w:rsid w:val="3B9F50C4"/>
    <w:rsid w:val="3BCA1D38"/>
    <w:rsid w:val="3BDA6C7F"/>
    <w:rsid w:val="3BE031AB"/>
    <w:rsid w:val="3C063E32"/>
    <w:rsid w:val="3C851FC9"/>
    <w:rsid w:val="3CBC7B2B"/>
    <w:rsid w:val="3DD571D5"/>
    <w:rsid w:val="3E2B4C4C"/>
    <w:rsid w:val="3E9D2937"/>
    <w:rsid w:val="3EB6296E"/>
    <w:rsid w:val="3EB96BF2"/>
    <w:rsid w:val="3EBF060E"/>
    <w:rsid w:val="3F2D2BB2"/>
    <w:rsid w:val="3FBFB15A"/>
    <w:rsid w:val="40810D96"/>
    <w:rsid w:val="40E41F39"/>
    <w:rsid w:val="414216AA"/>
    <w:rsid w:val="41A75912"/>
    <w:rsid w:val="41DB6B4F"/>
    <w:rsid w:val="428C0CBE"/>
    <w:rsid w:val="42B9359F"/>
    <w:rsid w:val="43D97E26"/>
    <w:rsid w:val="43E517BE"/>
    <w:rsid w:val="45FD2200"/>
    <w:rsid w:val="460A363B"/>
    <w:rsid w:val="476A1E43"/>
    <w:rsid w:val="47A75E14"/>
    <w:rsid w:val="47BE4540"/>
    <w:rsid w:val="47CA40E5"/>
    <w:rsid w:val="47E92A25"/>
    <w:rsid w:val="48776FC8"/>
    <w:rsid w:val="48B6445C"/>
    <w:rsid w:val="495C2C76"/>
    <w:rsid w:val="49806E30"/>
    <w:rsid w:val="49B25D61"/>
    <w:rsid w:val="4A4E70BE"/>
    <w:rsid w:val="4B476422"/>
    <w:rsid w:val="4B8E32A8"/>
    <w:rsid w:val="4BB42F94"/>
    <w:rsid w:val="4BCC2254"/>
    <w:rsid w:val="4C911C26"/>
    <w:rsid w:val="4C991733"/>
    <w:rsid w:val="4CBA22C4"/>
    <w:rsid w:val="4CCA0D79"/>
    <w:rsid w:val="4D2842B4"/>
    <w:rsid w:val="4D3A6F3B"/>
    <w:rsid w:val="4D6F6E97"/>
    <w:rsid w:val="4D7B27DE"/>
    <w:rsid w:val="4E8D2776"/>
    <w:rsid w:val="4EB11FB5"/>
    <w:rsid w:val="4EB52630"/>
    <w:rsid w:val="4F08300C"/>
    <w:rsid w:val="4FD60D23"/>
    <w:rsid w:val="5021370E"/>
    <w:rsid w:val="503301CE"/>
    <w:rsid w:val="50D52CA9"/>
    <w:rsid w:val="51194D68"/>
    <w:rsid w:val="516602C6"/>
    <w:rsid w:val="521554B3"/>
    <w:rsid w:val="5248401B"/>
    <w:rsid w:val="527A0497"/>
    <w:rsid w:val="52B669EE"/>
    <w:rsid w:val="53BF5A3A"/>
    <w:rsid w:val="53DF5C01"/>
    <w:rsid w:val="542055AC"/>
    <w:rsid w:val="544E1318"/>
    <w:rsid w:val="545D46C8"/>
    <w:rsid w:val="548E33C1"/>
    <w:rsid w:val="54C043A2"/>
    <w:rsid w:val="54DD74B7"/>
    <w:rsid w:val="55271DA0"/>
    <w:rsid w:val="55404E30"/>
    <w:rsid w:val="55775D97"/>
    <w:rsid w:val="55D21350"/>
    <w:rsid w:val="55D929FB"/>
    <w:rsid w:val="567674C5"/>
    <w:rsid w:val="56A67674"/>
    <w:rsid w:val="5746213C"/>
    <w:rsid w:val="57533ED1"/>
    <w:rsid w:val="5781547F"/>
    <w:rsid w:val="57872239"/>
    <w:rsid w:val="57AC55A6"/>
    <w:rsid w:val="58016FE6"/>
    <w:rsid w:val="58365C18"/>
    <w:rsid w:val="589E7F35"/>
    <w:rsid w:val="59E56E64"/>
    <w:rsid w:val="5A6776D7"/>
    <w:rsid w:val="5A6E79CA"/>
    <w:rsid w:val="5A997268"/>
    <w:rsid w:val="5B473750"/>
    <w:rsid w:val="5B583BEB"/>
    <w:rsid w:val="5C064E9E"/>
    <w:rsid w:val="5C27796D"/>
    <w:rsid w:val="5CFF019C"/>
    <w:rsid w:val="5D0D455B"/>
    <w:rsid w:val="5D184CAE"/>
    <w:rsid w:val="5E683CA9"/>
    <w:rsid w:val="5EE16154"/>
    <w:rsid w:val="5EF00AD7"/>
    <w:rsid w:val="5F06135B"/>
    <w:rsid w:val="5FBD176B"/>
    <w:rsid w:val="5FDE0E85"/>
    <w:rsid w:val="5FF32431"/>
    <w:rsid w:val="60460678"/>
    <w:rsid w:val="60610639"/>
    <w:rsid w:val="60B50190"/>
    <w:rsid w:val="61381225"/>
    <w:rsid w:val="61397AE4"/>
    <w:rsid w:val="62184CCE"/>
    <w:rsid w:val="628B7ECE"/>
    <w:rsid w:val="62C57906"/>
    <w:rsid w:val="63533FB2"/>
    <w:rsid w:val="637E596B"/>
    <w:rsid w:val="63F9600D"/>
    <w:rsid w:val="640D082D"/>
    <w:rsid w:val="643C2349"/>
    <w:rsid w:val="64930778"/>
    <w:rsid w:val="65262B40"/>
    <w:rsid w:val="6585763E"/>
    <w:rsid w:val="65C63010"/>
    <w:rsid w:val="65E32958"/>
    <w:rsid w:val="661223FE"/>
    <w:rsid w:val="66454098"/>
    <w:rsid w:val="668E7C10"/>
    <w:rsid w:val="66B64B70"/>
    <w:rsid w:val="67256946"/>
    <w:rsid w:val="67D33EBA"/>
    <w:rsid w:val="68A16ECE"/>
    <w:rsid w:val="68A76A39"/>
    <w:rsid w:val="68C1662E"/>
    <w:rsid w:val="68D92B44"/>
    <w:rsid w:val="694D0194"/>
    <w:rsid w:val="697A136B"/>
    <w:rsid w:val="69D852B9"/>
    <w:rsid w:val="69E330DC"/>
    <w:rsid w:val="6A027851"/>
    <w:rsid w:val="6A0E4722"/>
    <w:rsid w:val="6B127BE8"/>
    <w:rsid w:val="6B180AB1"/>
    <w:rsid w:val="6C0B1BBC"/>
    <w:rsid w:val="6C465F5C"/>
    <w:rsid w:val="6D35223E"/>
    <w:rsid w:val="6D694BAA"/>
    <w:rsid w:val="6DB87489"/>
    <w:rsid w:val="6E4F42F3"/>
    <w:rsid w:val="6E7FF64A"/>
    <w:rsid w:val="6E9716AC"/>
    <w:rsid w:val="6E9D421D"/>
    <w:rsid w:val="6EEC5645"/>
    <w:rsid w:val="6F332A28"/>
    <w:rsid w:val="6F566020"/>
    <w:rsid w:val="70A1126A"/>
    <w:rsid w:val="71AF3B81"/>
    <w:rsid w:val="724A54B2"/>
    <w:rsid w:val="727E14FC"/>
    <w:rsid w:val="72CB3D7C"/>
    <w:rsid w:val="732D5122"/>
    <w:rsid w:val="73E21C51"/>
    <w:rsid w:val="74AE3461"/>
    <w:rsid w:val="752B3ACD"/>
    <w:rsid w:val="75A04CCE"/>
    <w:rsid w:val="7631264D"/>
    <w:rsid w:val="76967512"/>
    <w:rsid w:val="77101B8D"/>
    <w:rsid w:val="7765313E"/>
    <w:rsid w:val="77B37456"/>
    <w:rsid w:val="77C36B2C"/>
    <w:rsid w:val="795F4DE1"/>
    <w:rsid w:val="79891F98"/>
    <w:rsid w:val="79A35BD5"/>
    <w:rsid w:val="79BD656D"/>
    <w:rsid w:val="79D1628F"/>
    <w:rsid w:val="79EF4034"/>
    <w:rsid w:val="7AC03A32"/>
    <w:rsid w:val="7B095AEA"/>
    <w:rsid w:val="7B8D67B1"/>
    <w:rsid w:val="7B8F3443"/>
    <w:rsid w:val="7BA36A29"/>
    <w:rsid w:val="7BEB511D"/>
    <w:rsid w:val="7C0B6784"/>
    <w:rsid w:val="7C4631E8"/>
    <w:rsid w:val="7C6110C3"/>
    <w:rsid w:val="7C806AB1"/>
    <w:rsid w:val="7CB57B2B"/>
    <w:rsid w:val="7CBA15B9"/>
    <w:rsid w:val="7CEC5AE4"/>
    <w:rsid w:val="7D6D425E"/>
    <w:rsid w:val="7EA01CCB"/>
    <w:rsid w:val="7EB8613E"/>
    <w:rsid w:val="7EEB7EA2"/>
    <w:rsid w:val="7F34644B"/>
    <w:rsid w:val="7F5F2B7A"/>
    <w:rsid w:val="7FEBF9DC"/>
    <w:rsid w:val="7FFC198E"/>
    <w:rsid w:val="9BD7F88D"/>
    <w:rsid w:val="9FFFCC5B"/>
    <w:rsid w:val="ED7E03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4"/>
    <w:basedOn w:val="1"/>
    <w:next w:val="1"/>
    <w:qFormat/>
    <w:uiPriority w:val="99"/>
    <w:pPr>
      <w:autoSpaceDE w:val="0"/>
      <w:autoSpaceDN w:val="0"/>
      <w:ind w:left="20"/>
      <w:jc w:val="left"/>
      <w:outlineLvl w:val="3"/>
    </w:pPr>
    <w:rPr>
      <w:rFonts w:ascii="宋体" w:hAnsi="宋体" w:eastAsia="宋体" w:cs="宋体"/>
      <w:b/>
      <w:bCs/>
      <w:kern w:val="0"/>
      <w:sz w:val="22"/>
      <w:lang w:val="zh-TW" w:eastAsia="zh-TW"/>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eastAsia="宋体" w:cs="Times New Roman"/>
      <w:sz w:val="24"/>
    </w:rPr>
  </w:style>
  <w:style w:type="paragraph" w:styleId="5">
    <w:name w:val="Normal Indent"/>
    <w:basedOn w:val="1"/>
    <w:next w:val="1"/>
    <w:qFormat/>
    <w:uiPriority w:val="0"/>
    <w:pPr>
      <w:ind w:firstLine="420" w:firstLineChars="200"/>
    </w:pPr>
    <w:rPr>
      <w:rFonts w:eastAsia="宋体"/>
      <w:sz w:val="21"/>
      <w:szCs w:val="24"/>
    </w:rPr>
  </w:style>
  <w:style w:type="paragraph" w:styleId="6">
    <w:name w:val="annotation text"/>
    <w:basedOn w:val="1"/>
    <w:qFormat/>
    <w:uiPriority w:val="0"/>
    <w:pPr>
      <w:jc w:val="left"/>
    </w:pPr>
  </w:style>
  <w:style w:type="paragraph" w:styleId="7">
    <w:name w:val="Body Text Indent"/>
    <w:basedOn w:val="1"/>
    <w:next w:val="5"/>
    <w:qFormat/>
    <w:uiPriority w:val="0"/>
    <w:pPr>
      <w:ind w:firstLine="615"/>
    </w:pPr>
    <w:rPr>
      <w:rFonts w:ascii="仿宋_GB2312" w:eastAsia="仿宋_GB2312"/>
      <w:sz w:val="30"/>
      <w:szCs w:val="30"/>
    </w:rPr>
  </w:style>
  <w:style w:type="paragraph" w:styleId="8">
    <w:name w:val="Plain Text"/>
    <w:basedOn w:val="1"/>
    <w:qFormat/>
    <w:uiPriority w:val="0"/>
    <w:rPr>
      <w:rFonts w:ascii="宋体" w:hAnsi="Courier New" w:eastAsia="宋体"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5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宋体" w:hAnsi="宋体" w:eastAsia="宋体" w:cs="宋体"/>
      <w:color w:val="000000"/>
      <w:sz w:val="18"/>
      <w:szCs w:val="18"/>
      <w:u w:val="none"/>
    </w:rPr>
  </w:style>
  <w:style w:type="character" w:customStyle="1" w:styleId="19">
    <w:name w:val="font21"/>
    <w:basedOn w:val="12"/>
    <w:qFormat/>
    <w:uiPriority w:val="0"/>
    <w:rPr>
      <w:rFonts w:hint="default" w:ascii="Times New Roman" w:hAnsi="Times New Roman" w:cs="Times New Roman"/>
      <w:color w:val="000000"/>
      <w:sz w:val="20"/>
      <w:szCs w:val="20"/>
      <w:u w:val="none"/>
    </w:rPr>
  </w:style>
  <w:style w:type="character" w:customStyle="1" w:styleId="20">
    <w:name w:val="font41"/>
    <w:basedOn w:val="12"/>
    <w:qFormat/>
    <w:uiPriority w:val="0"/>
    <w:rPr>
      <w:rFonts w:hint="eastAsia" w:ascii="宋体" w:hAnsi="宋体" w:eastAsia="宋体" w:cs="宋体"/>
      <w:b/>
      <w:color w:val="000000"/>
      <w:sz w:val="20"/>
      <w:szCs w:val="20"/>
      <w:u w:val="none"/>
    </w:rPr>
  </w:style>
  <w:style w:type="character" w:customStyle="1" w:styleId="21">
    <w:name w:val="font71"/>
    <w:basedOn w:val="12"/>
    <w:qFormat/>
    <w:uiPriority w:val="0"/>
    <w:rPr>
      <w:rFonts w:hint="eastAsia" w:ascii="宋体" w:hAnsi="宋体" w:eastAsia="宋体" w:cs="宋体"/>
      <w:color w:val="000000"/>
      <w:sz w:val="20"/>
      <w:szCs w:val="20"/>
      <w:u w:val="none"/>
    </w:rPr>
  </w:style>
  <w:style w:type="character" w:customStyle="1" w:styleId="22">
    <w:name w:val="font91"/>
    <w:basedOn w:val="12"/>
    <w:qFormat/>
    <w:uiPriority w:val="0"/>
    <w:rPr>
      <w:rFonts w:hint="eastAsia" w:ascii="宋体" w:hAnsi="宋体" w:eastAsia="宋体" w:cs="宋体"/>
      <w:color w:val="000000"/>
      <w:sz w:val="20"/>
      <w:szCs w:val="20"/>
      <w:u w:val="none"/>
    </w:rPr>
  </w:style>
  <w:style w:type="character" w:customStyle="1" w:styleId="23">
    <w:name w:val="font101"/>
    <w:basedOn w:val="12"/>
    <w:qFormat/>
    <w:uiPriority w:val="0"/>
    <w:rPr>
      <w:rFonts w:hint="default" w:ascii="Times New Roman" w:hAnsi="Times New Roman" w:cs="Times New Roman"/>
      <w:color w:val="000000"/>
      <w:sz w:val="20"/>
      <w:szCs w:val="20"/>
      <w:u w:val="none"/>
    </w:rPr>
  </w:style>
  <w:style w:type="character" w:customStyle="1" w:styleId="24">
    <w:name w:val="font111"/>
    <w:basedOn w:val="12"/>
    <w:qFormat/>
    <w:uiPriority w:val="0"/>
    <w:rPr>
      <w:rFonts w:hint="eastAsia" w:ascii="宋体" w:hAnsi="宋体" w:eastAsia="宋体" w:cs="宋体"/>
      <w:color w:val="000000"/>
      <w:sz w:val="20"/>
      <w:szCs w:val="20"/>
      <w:u w:val="none"/>
    </w:rPr>
  </w:style>
  <w:style w:type="character" w:customStyle="1" w:styleId="25">
    <w:name w:val="font121"/>
    <w:basedOn w:val="12"/>
    <w:qFormat/>
    <w:uiPriority w:val="0"/>
    <w:rPr>
      <w:rFonts w:hint="eastAsia" w:ascii="宋体" w:hAnsi="宋体" w:eastAsia="宋体" w:cs="宋体"/>
      <w:b/>
      <w:color w:val="000000"/>
      <w:sz w:val="20"/>
      <w:szCs w:val="20"/>
      <w:u w:val="none"/>
    </w:rPr>
  </w:style>
  <w:style w:type="character" w:customStyle="1" w:styleId="26">
    <w:name w:val="font01"/>
    <w:basedOn w:val="1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3695</Words>
  <Characters>6739</Characters>
  <Lines>0</Lines>
  <Paragraphs>0</Paragraphs>
  <TotalTime>0</TotalTime>
  <ScaleCrop>false</ScaleCrop>
  <LinksUpToDate>false</LinksUpToDate>
  <CharactersWithSpaces>7418</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2023-05-23T09:40:00Z</dcterms:created>
  <dc:creator>寻乌农商银行</dc:creator>
  <cp:lastModifiedBy>1</cp:lastModifiedBy>
  <cp:lastPrinted>2025-07-11T17:22:00Z</cp:lastPrinted>
  <dcterms:modified xsi:type="dcterms:W3CDTF">2026-04-24T09:57:53Z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2352666BEC46435CB2D101F75D38167C</vt:lpwstr>
  </property>
  <property fmtid="{D5CDD505-2E9C-101B-9397-08002B2CF9AE}" pid="4" name="KSOTemplateDocerSaveRecord">
    <vt:lpwstr>eyJoZGlkIjoiNmYzYTNkNTVlODRlOTcxYTcyNDA1ZDU3MDgzNmM4MTMiLCJ1c2VySWQiOiI0MTA2NTAzMTYifQ==</vt:lpwstr>
  </property>
</Properties>
</file>