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B7" w:rsidRDefault="002756B7" w:rsidP="002756B7">
      <w:pPr>
        <w:pStyle w:val="1"/>
        <w:shd w:val="clear" w:color="auto" w:fill="FFFFFF"/>
        <w:spacing w:line="540" w:lineRule="atLeast"/>
        <w:rPr>
          <w:color w:val="666666"/>
        </w:rPr>
      </w:pPr>
      <w:r>
        <w:rPr>
          <w:rFonts w:hint="eastAsia"/>
          <w:color w:val="666666"/>
        </w:rPr>
        <w:t>百福理财</w:t>
      </w:r>
      <w:proofErr w:type="gramStart"/>
      <w:r>
        <w:rPr>
          <w:rFonts w:hint="eastAsia"/>
          <w:color w:val="666666"/>
        </w:rPr>
        <w:t>禧</w:t>
      </w:r>
      <w:proofErr w:type="gramEnd"/>
      <w:r>
        <w:rPr>
          <w:rFonts w:hint="eastAsia"/>
          <w:color w:val="666666"/>
        </w:rPr>
        <w:t>临门系列CG10620150313006号</w:t>
      </w:r>
    </w:p>
    <w:p w:rsidR="002756B7" w:rsidRDefault="002756B7" w:rsidP="002756B7">
      <w:pPr>
        <w:shd w:val="clear" w:color="auto" w:fill="FFFFFF"/>
        <w:spacing w:line="300" w:lineRule="atLeast"/>
        <w:jc w:val="center"/>
        <w:rPr>
          <w:rFonts w:hint="eastAsia"/>
          <w:color w:val="888888"/>
          <w:sz w:val="18"/>
          <w:szCs w:val="18"/>
        </w:rPr>
      </w:pPr>
      <w:r>
        <w:rPr>
          <w:rFonts w:hint="eastAsia"/>
          <w:color w:val="888888"/>
          <w:sz w:val="18"/>
          <w:szCs w:val="18"/>
        </w:rPr>
        <w:t>日期：</w:t>
      </w:r>
      <w:r>
        <w:rPr>
          <w:rFonts w:hint="eastAsia"/>
          <w:color w:val="888888"/>
          <w:sz w:val="18"/>
          <w:szCs w:val="18"/>
        </w:rPr>
        <w:t xml:space="preserve"> 2015-03-10 </w:t>
      </w:r>
      <w:r>
        <w:rPr>
          <w:rFonts w:hint="eastAsia"/>
          <w:color w:val="888888"/>
          <w:sz w:val="18"/>
          <w:szCs w:val="18"/>
        </w:rPr>
        <w:t>文章点击数：</w:t>
      </w:r>
      <w:r>
        <w:rPr>
          <w:rFonts w:hint="eastAsia"/>
          <w:color w:val="888888"/>
          <w:sz w:val="18"/>
          <w:szCs w:val="18"/>
        </w:rPr>
        <w:t xml:space="preserve"> </w:t>
      </w:r>
      <w:r>
        <w:rPr>
          <w:rFonts w:hint="eastAsia"/>
          <w:color w:val="888888"/>
          <w:sz w:val="18"/>
          <w:szCs w:val="18"/>
        </w:rPr>
        <w:pict/>
      </w:r>
      <w:r>
        <w:rPr>
          <w:rFonts w:hint="eastAsia"/>
          <w:color w:val="888888"/>
          <w:sz w:val="18"/>
          <w:szCs w:val="18"/>
        </w:rPr>
        <w:t xml:space="preserve">1 </w:t>
      </w:r>
      <w:r>
        <w:rPr>
          <w:rFonts w:hint="eastAsia"/>
          <w:color w:val="888888"/>
          <w:sz w:val="18"/>
          <w:szCs w:val="18"/>
        </w:rPr>
        <w:t>稿源：</w:t>
      </w:r>
      <w:r>
        <w:rPr>
          <w:rFonts w:hint="eastAsia"/>
          <w:color w:val="888888"/>
          <w:sz w:val="18"/>
          <w:szCs w:val="18"/>
        </w:rPr>
        <w:t xml:space="preserve"> </w:t>
      </w:r>
    </w:p>
    <w:p w:rsidR="002756B7" w:rsidRDefault="002756B7" w:rsidP="002756B7">
      <w:pPr>
        <w:shd w:val="clear" w:color="auto" w:fill="FFFFFF"/>
        <w:spacing w:line="480" w:lineRule="atLeast"/>
        <w:ind w:firstLine="480"/>
        <w:jc w:val="left"/>
        <w:rPr>
          <w:rFonts w:hint="eastAsia"/>
          <w:color w:val="333333"/>
          <w:szCs w:val="21"/>
        </w:rPr>
      </w:pPr>
      <w:r>
        <w:rPr>
          <w:rFonts w:hint="eastAsia"/>
          <w:color w:val="333333"/>
          <w:szCs w:val="21"/>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037"/>
        <w:gridCol w:w="103"/>
        <w:gridCol w:w="1412"/>
        <w:gridCol w:w="4288"/>
      </w:tblGrid>
      <w:tr w:rsidR="002756B7" w:rsidTr="002756B7">
        <w:trPr>
          <w:trHeight w:val="450"/>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理财产品</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34"/>
              <w:rPr>
                <w:rFonts w:ascii="宋体" w:eastAsia="宋体" w:hAnsi="宋体" w:cs="宋体"/>
                <w:b/>
                <w:color w:val="666666"/>
                <w:sz w:val="18"/>
                <w:szCs w:val="18"/>
                <w:u w:val="single"/>
              </w:rPr>
            </w:pPr>
            <w:r>
              <w:rPr>
                <w:rFonts w:hint="eastAsia"/>
                <w:b/>
                <w:color w:val="666666"/>
                <w:spacing w:val="6"/>
                <w:sz w:val="18"/>
                <w:szCs w:val="18"/>
              </w:rPr>
              <w:t>产品名称：</w:t>
            </w:r>
            <w:r>
              <w:rPr>
                <w:rFonts w:hint="eastAsia"/>
                <w:b/>
                <w:color w:val="666666"/>
                <w:sz w:val="18"/>
                <w:szCs w:val="18"/>
              </w:rPr>
              <w:t>百福理财</w:t>
            </w:r>
            <w:proofErr w:type="gramStart"/>
            <w:r>
              <w:rPr>
                <w:rFonts w:hint="eastAsia"/>
                <w:b/>
                <w:color w:val="666666"/>
                <w:sz w:val="18"/>
                <w:szCs w:val="18"/>
                <w:u w:val="single"/>
              </w:rPr>
              <w:t>禧</w:t>
            </w:r>
            <w:proofErr w:type="gramEnd"/>
            <w:r>
              <w:rPr>
                <w:rFonts w:hint="eastAsia"/>
                <w:b/>
                <w:color w:val="666666"/>
                <w:sz w:val="18"/>
                <w:szCs w:val="18"/>
                <w:u w:val="single"/>
              </w:rPr>
              <w:t>临门</w:t>
            </w:r>
            <w:r>
              <w:rPr>
                <w:rFonts w:hint="eastAsia"/>
                <w:b/>
                <w:color w:val="666666"/>
                <w:sz w:val="18"/>
                <w:szCs w:val="18"/>
              </w:rPr>
              <w:t>系列</w:t>
            </w:r>
            <w:r>
              <w:rPr>
                <w:rFonts w:hint="eastAsia"/>
                <w:b/>
                <w:color w:val="666666"/>
                <w:sz w:val="18"/>
                <w:szCs w:val="18"/>
                <w:u w:val="single"/>
              </w:rPr>
              <w:t>CG10620150313006</w:t>
            </w:r>
            <w:r>
              <w:rPr>
                <w:rFonts w:hint="eastAsia"/>
                <w:b/>
                <w:color w:val="666666"/>
                <w:sz w:val="18"/>
                <w:szCs w:val="18"/>
              </w:rPr>
              <w:t>号</w:t>
            </w:r>
          </w:p>
        </w:tc>
      </w:tr>
      <w:tr w:rsidR="002756B7" w:rsidTr="002756B7">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6B7" w:rsidRDefault="002756B7">
            <w:pPr>
              <w:rPr>
                <w:rFonts w:ascii="宋体" w:eastAsia="宋体" w:hAnsi="宋体" w:cs="宋体"/>
                <w:b/>
                <w:color w:val="666666"/>
                <w:spacing w:val="6"/>
                <w:szCs w:val="21"/>
              </w:rPr>
            </w:pP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34"/>
              <w:rPr>
                <w:rFonts w:ascii="宋体" w:eastAsia="宋体" w:hAnsi="宋体" w:cs="宋体"/>
                <w:b/>
                <w:color w:val="666666"/>
                <w:sz w:val="18"/>
                <w:szCs w:val="18"/>
              </w:rPr>
            </w:pPr>
            <w:r>
              <w:rPr>
                <w:rFonts w:hint="eastAsia"/>
                <w:b/>
                <w:color w:val="666666"/>
                <w:sz w:val="18"/>
                <w:szCs w:val="18"/>
              </w:rPr>
              <w:t>产品编号：</w:t>
            </w:r>
            <w:r>
              <w:rPr>
                <w:rFonts w:hint="eastAsia"/>
                <w:b/>
                <w:color w:val="666666"/>
                <w:sz w:val="18"/>
                <w:szCs w:val="18"/>
                <w:u w:val="single"/>
              </w:rPr>
              <w:t>CG10620150313006</w:t>
            </w:r>
          </w:p>
        </w:tc>
      </w:tr>
      <w:tr w:rsidR="002756B7" w:rsidTr="002756B7">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产品发行人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南昌农商银行</w:t>
            </w:r>
          </w:p>
        </w:tc>
      </w:tr>
      <w:tr w:rsidR="002756B7" w:rsidTr="002756B7">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产品发行范围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江西省</w:t>
            </w:r>
          </w:p>
        </w:tc>
      </w:tr>
      <w:tr w:rsidR="002756B7" w:rsidTr="002756B7">
        <w:trPr>
          <w:trHeight w:val="844"/>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适合投资人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经产品发行人风险评估为</w:t>
            </w:r>
            <w:r>
              <w:rPr>
                <w:rFonts w:hint="eastAsia"/>
                <w:color w:val="666666"/>
                <w:sz w:val="18"/>
                <w:szCs w:val="18"/>
                <w:u w:val="single"/>
              </w:rPr>
              <w:t>二</w:t>
            </w:r>
            <w:r>
              <w:rPr>
                <w:rFonts w:hint="eastAsia"/>
                <w:color w:val="666666"/>
                <w:sz w:val="18"/>
                <w:szCs w:val="18"/>
              </w:rPr>
              <w:t>级，适合投资人风险评估为</w:t>
            </w:r>
            <w:r>
              <w:rPr>
                <w:rFonts w:hint="eastAsia"/>
                <w:color w:val="666666"/>
                <w:sz w:val="18"/>
                <w:szCs w:val="18"/>
                <w:u w:val="single"/>
              </w:rPr>
              <w:t>稳健型、平衡型、成长型、进取型</w:t>
            </w:r>
            <w:r>
              <w:rPr>
                <w:rFonts w:hint="eastAsia"/>
                <w:color w:val="666666"/>
                <w:sz w:val="18"/>
                <w:szCs w:val="18"/>
              </w:rPr>
              <w:t>的个人合格投资者（包括有投资经验及无投资经验），以及机构投资者。</w:t>
            </w:r>
          </w:p>
        </w:tc>
      </w:tr>
      <w:tr w:rsidR="002756B7" w:rsidTr="002756B7">
        <w:trPr>
          <w:trHeight w:val="55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期</w:t>
            </w:r>
            <w:r>
              <w:rPr>
                <w:rFonts w:hint="eastAsia"/>
                <w:b/>
                <w:color w:val="666666"/>
                <w:spacing w:val="6"/>
                <w:szCs w:val="21"/>
              </w:rPr>
              <w:t xml:space="preserve">    </w:t>
            </w:r>
            <w:r>
              <w:rPr>
                <w:rFonts w:hint="eastAsia"/>
                <w:b/>
                <w:color w:val="666666"/>
                <w:spacing w:val="6"/>
                <w:szCs w:val="21"/>
              </w:rPr>
              <w:t>限</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90</w:t>
            </w:r>
            <w:r>
              <w:rPr>
                <w:rFonts w:hint="eastAsia"/>
                <w:color w:val="666666"/>
                <w:sz w:val="18"/>
                <w:szCs w:val="18"/>
              </w:rPr>
              <w:t>天</w:t>
            </w:r>
          </w:p>
        </w:tc>
      </w:tr>
      <w:tr w:rsidR="002756B7" w:rsidTr="002756B7">
        <w:trPr>
          <w:trHeight w:val="443"/>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产品起始日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3</w:t>
            </w:r>
            <w:r>
              <w:rPr>
                <w:rFonts w:hint="eastAsia"/>
                <w:color w:val="666666"/>
                <w:sz w:val="18"/>
                <w:szCs w:val="18"/>
              </w:rPr>
              <w:t>月</w:t>
            </w:r>
            <w:r>
              <w:rPr>
                <w:rFonts w:hint="eastAsia"/>
                <w:color w:val="666666"/>
                <w:sz w:val="18"/>
                <w:szCs w:val="18"/>
                <w:u w:val="single"/>
              </w:rPr>
              <w:t>20</w:t>
            </w:r>
            <w:r>
              <w:rPr>
                <w:rFonts w:hint="eastAsia"/>
                <w:color w:val="666666"/>
                <w:sz w:val="18"/>
                <w:szCs w:val="18"/>
              </w:rPr>
              <w:t>日</w:t>
            </w:r>
          </w:p>
        </w:tc>
      </w:tr>
      <w:tr w:rsidR="002756B7" w:rsidTr="002756B7">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产品到期日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6</w:t>
            </w:r>
            <w:r>
              <w:rPr>
                <w:rFonts w:hint="eastAsia"/>
                <w:color w:val="666666"/>
                <w:sz w:val="18"/>
                <w:szCs w:val="18"/>
              </w:rPr>
              <w:t>月</w:t>
            </w:r>
            <w:r>
              <w:rPr>
                <w:rFonts w:hint="eastAsia"/>
                <w:color w:val="666666"/>
                <w:sz w:val="18"/>
                <w:szCs w:val="18"/>
                <w:u w:val="single"/>
              </w:rPr>
              <w:t>18</w:t>
            </w:r>
            <w:r>
              <w:rPr>
                <w:rFonts w:hint="eastAsia"/>
                <w:color w:val="666666"/>
                <w:sz w:val="18"/>
                <w:szCs w:val="18"/>
              </w:rPr>
              <w:t>日</w:t>
            </w:r>
          </w:p>
        </w:tc>
      </w:tr>
      <w:tr w:rsidR="002756B7" w:rsidTr="002756B7">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投资及收益币种</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rPr>
              <w:t>人民币</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jc w:val="center"/>
              <w:rPr>
                <w:rFonts w:ascii="宋体" w:eastAsia="宋体" w:hAnsi="宋体" w:cs="宋体"/>
                <w:color w:val="666666"/>
                <w:sz w:val="18"/>
                <w:szCs w:val="18"/>
              </w:rPr>
            </w:pPr>
            <w:r>
              <w:rPr>
                <w:rFonts w:hint="eastAsia"/>
                <w:b/>
                <w:color w:val="666666"/>
                <w:spacing w:val="6"/>
                <w:sz w:val="18"/>
                <w:szCs w:val="18"/>
              </w:rPr>
              <w:t>产品类型</w:t>
            </w:r>
          </w:p>
        </w:tc>
        <w:tc>
          <w:tcPr>
            <w:tcW w:w="428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b/>
                <w:bCs/>
                <w:color w:val="666666"/>
                <w:sz w:val="18"/>
                <w:szCs w:val="18"/>
              </w:rPr>
            </w:pPr>
            <w:r>
              <w:rPr>
                <w:rFonts w:hint="eastAsia"/>
                <w:b/>
                <w:bCs/>
                <w:color w:val="666666"/>
                <w:sz w:val="18"/>
                <w:szCs w:val="18"/>
              </w:rPr>
              <w:t>√非保本浮动收益型</w:t>
            </w:r>
            <w:r>
              <w:rPr>
                <w:rFonts w:hint="eastAsia"/>
                <w:b/>
                <w:bCs/>
                <w:color w:val="666666"/>
                <w:sz w:val="18"/>
                <w:szCs w:val="18"/>
              </w:rPr>
              <w:t xml:space="preserve">   </w:t>
            </w:r>
            <w:r>
              <w:rPr>
                <w:rFonts w:hint="eastAsia"/>
                <w:b/>
                <w:bCs/>
                <w:color w:val="666666"/>
                <w:sz w:val="18"/>
                <w:szCs w:val="18"/>
              </w:rPr>
              <w:t>□保本浮动收益型</w:t>
            </w:r>
          </w:p>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b/>
                <w:bCs/>
                <w:color w:val="666666"/>
                <w:sz w:val="18"/>
                <w:szCs w:val="18"/>
              </w:rPr>
              <w:t>□保证收益型</w:t>
            </w:r>
          </w:p>
        </w:tc>
      </w:tr>
      <w:tr w:rsidR="002756B7" w:rsidTr="002756B7">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发行规模</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500</w:t>
            </w:r>
            <w:r>
              <w:rPr>
                <w:rFonts w:hint="eastAsia"/>
                <w:color w:val="666666"/>
                <w:sz w:val="18"/>
                <w:szCs w:val="18"/>
              </w:rPr>
              <w:t>万元至</w:t>
            </w:r>
            <w:r>
              <w:rPr>
                <w:rFonts w:hint="eastAsia"/>
                <w:color w:val="666666"/>
                <w:sz w:val="18"/>
                <w:szCs w:val="18"/>
                <w:u w:val="single"/>
              </w:rPr>
              <w:t>20000</w:t>
            </w:r>
            <w:r>
              <w:rPr>
                <w:rFonts w:hint="eastAsia"/>
                <w:color w:val="666666"/>
                <w:sz w:val="18"/>
                <w:szCs w:val="18"/>
              </w:rPr>
              <w:t>万元</w:t>
            </w:r>
          </w:p>
        </w:tc>
      </w:tr>
      <w:tr w:rsidR="002756B7" w:rsidTr="002756B7">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募集时间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3</w:t>
            </w:r>
            <w:r>
              <w:rPr>
                <w:rFonts w:hint="eastAsia"/>
                <w:color w:val="666666"/>
                <w:sz w:val="18"/>
                <w:szCs w:val="18"/>
              </w:rPr>
              <w:t>月</w:t>
            </w:r>
            <w:r>
              <w:rPr>
                <w:rFonts w:hint="eastAsia"/>
                <w:color w:val="666666"/>
                <w:sz w:val="18"/>
                <w:szCs w:val="18"/>
                <w:u w:val="single"/>
              </w:rPr>
              <w:t>13</w:t>
            </w:r>
            <w:r>
              <w:rPr>
                <w:rFonts w:hint="eastAsia"/>
                <w:color w:val="666666"/>
                <w:sz w:val="18"/>
                <w:szCs w:val="18"/>
              </w:rPr>
              <w:t>日至</w:t>
            </w: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3</w:t>
            </w:r>
            <w:r>
              <w:rPr>
                <w:rFonts w:hint="eastAsia"/>
                <w:color w:val="666666"/>
                <w:sz w:val="18"/>
                <w:szCs w:val="18"/>
              </w:rPr>
              <w:t>月</w:t>
            </w:r>
            <w:r>
              <w:rPr>
                <w:rFonts w:hint="eastAsia"/>
                <w:color w:val="666666"/>
                <w:sz w:val="18"/>
                <w:szCs w:val="18"/>
                <w:u w:val="single"/>
              </w:rPr>
              <w:t>19</w:t>
            </w:r>
            <w:r>
              <w:rPr>
                <w:rFonts w:hint="eastAsia"/>
                <w:color w:val="666666"/>
                <w:sz w:val="18"/>
                <w:szCs w:val="18"/>
              </w:rPr>
              <w:t>日</w:t>
            </w:r>
          </w:p>
        </w:tc>
      </w:tr>
      <w:tr w:rsidR="002756B7" w:rsidTr="002756B7">
        <w:trPr>
          <w:trHeight w:val="364"/>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jc w:val="center"/>
              <w:rPr>
                <w:rFonts w:ascii="宋体" w:eastAsia="仿宋_GB2312" w:hAnsi="宋体" w:cs="宋体"/>
                <w:color w:val="666666"/>
                <w:spacing w:val="6"/>
                <w:szCs w:val="21"/>
              </w:rPr>
            </w:pPr>
            <w:r>
              <w:rPr>
                <w:rFonts w:hint="eastAsia"/>
                <w:b/>
                <w:color w:val="666666"/>
                <w:spacing w:val="6"/>
                <w:szCs w:val="21"/>
              </w:rPr>
              <w:t>认购起点金额</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个人投资者：</w:t>
            </w:r>
            <w:r>
              <w:rPr>
                <w:rFonts w:hint="eastAsia"/>
                <w:color w:val="666666"/>
                <w:sz w:val="18"/>
                <w:szCs w:val="18"/>
                <w:u w:val="single"/>
              </w:rPr>
              <w:t>5</w:t>
            </w:r>
            <w:r>
              <w:rPr>
                <w:rFonts w:hint="eastAsia"/>
                <w:color w:val="666666"/>
                <w:sz w:val="18"/>
                <w:szCs w:val="18"/>
              </w:rPr>
              <w:t>万元，以</w:t>
            </w:r>
            <w:r>
              <w:rPr>
                <w:rFonts w:hint="eastAsia"/>
                <w:color w:val="666666"/>
                <w:sz w:val="18"/>
                <w:szCs w:val="18"/>
                <w:u w:val="single"/>
              </w:rPr>
              <w:t>10000</w:t>
            </w:r>
            <w:r>
              <w:rPr>
                <w:rFonts w:hint="eastAsia"/>
                <w:color w:val="666666"/>
                <w:sz w:val="18"/>
                <w:szCs w:val="18"/>
              </w:rPr>
              <w:t>元整数</w:t>
            </w:r>
            <w:proofErr w:type="gramStart"/>
            <w:r>
              <w:rPr>
                <w:rFonts w:hint="eastAsia"/>
                <w:color w:val="666666"/>
                <w:sz w:val="18"/>
                <w:szCs w:val="18"/>
              </w:rPr>
              <w:t>倍</w:t>
            </w:r>
            <w:proofErr w:type="gramEnd"/>
            <w:r>
              <w:rPr>
                <w:rFonts w:hint="eastAsia"/>
                <w:color w:val="666666"/>
                <w:sz w:val="18"/>
                <w:szCs w:val="18"/>
              </w:rPr>
              <w:t>递增。</w:t>
            </w:r>
          </w:p>
        </w:tc>
      </w:tr>
      <w:tr w:rsidR="002756B7" w:rsidTr="002756B7">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6B7" w:rsidRDefault="002756B7">
            <w:pPr>
              <w:rPr>
                <w:rFonts w:ascii="宋体" w:eastAsia="仿宋_GB2312" w:hAnsi="宋体" w:cs="宋体"/>
                <w:color w:val="666666"/>
                <w:spacing w:val="6"/>
                <w:szCs w:val="21"/>
              </w:rPr>
            </w:pP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机构投资者：</w:t>
            </w:r>
            <w:r>
              <w:rPr>
                <w:rFonts w:hint="eastAsia"/>
                <w:color w:val="666666"/>
                <w:sz w:val="18"/>
                <w:szCs w:val="18"/>
                <w:u w:val="single"/>
              </w:rPr>
              <w:t>5</w:t>
            </w:r>
            <w:r>
              <w:rPr>
                <w:rFonts w:hint="eastAsia"/>
                <w:color w:val="666666"/>
                <w:sz w:val="18"/>
                <w:szCs w:val="18"/>
              </w:rPr>
              <w:t>万元，以</w:t>
            </w:r>
            <w:r>
              <w:rPr>
                <w:rFonts w:hint="eastAsia"/>
                <w:color w:val="666666"/>
                <w:sz w:val="18"/>
                <w:szCs w:val="18"/>
                <w:u w:val="single"/>
              </w:rPr>
              <w:t>10000</w:t>
            </w:r>
            <w:r>
              <w:rPr>
                <w:rFonts w:hint="eastAsia"/>
                <w:color w:val="666666"/>
                <w:sz w:val="18"/>
                <w:szCs w:val="18"/>
              </w:rPr>
              <w:t>元整数</w:t>
            </w:r>
            <w:proofErr w:type="gramStart"/>
            <w:r>
              <w:rPr>
                <w:rFonts w:hint="eastAsia"/>
                <w:color w:val="666666"/>
                <w:sz w:val="18"/>
                <w:szCs w:val="18"/>
              </w:rPr>
              <w:t>倍</w:t>
            </w:r>
            <w:proofErr w:type="gramEnd"/>
            <w:r>
              <w:rPr>
                <w:rFonts w:hint="eastAsia"/>
                <w:color w:val="666666"/>
                <w:sz w:val="18"/>
                <w:szCs w:val="18"/>
              </w:rPr>
              <w:t>递增。</w:t>
            </w:r>
          </w:p>
        </w:tc>
      </w:tr>
      <w:tr w:rsidR="002756B7" w:rsidTr="002756B7">
        <w:trPr>
          <w:trHeight w:val="146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产品成立</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Chars="200" w:firstLine="360"/>
              <w:rPr>
                <w:color w:val="666666"/>
                <w:sz w:val="18"/>
                <w:szCs w:val="18"/>
              </w:rPr>
            </w:pPr>
            <w:r>
              <w:rPr>
                <w:rFonts w:hint="eastAsia"/>
                <w:color w:val="666666"/>
                <w:sz w:val="18"/>
                <w:szCs w:val="18"/>
              </w:rPr>
              <w:t>产品起始日，发行范围投资人产品预购达到发行规模产品成立，产品最终规模以实际发行但不超过发行规模上限为准。</w:t>
            </w:r>
          </w:p>
          <w:p w:rsidR="002756B7" w:rsidRDefault="002756B7">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产品起始日，发行范围投资人产品预购未达到发行规模下限，产品发行人有权宣布产品不成立，并于募集时间结束后三个工作日内将投资人预购本金退还至投资人约定交易账户。</w:t>
            </w:r>
          </w:p>
        </w:tc>
      </w:tr>
      <w:tr w:rsidR="002756B7" w:rsidTr="002756B7">
        <w:trPr>
          <w:trHeight w:val="966"/>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投资人认购成功</w:t>
            </w:r>
            <w:r>
              <w:rPr>
                <w:rFonts w:hint="eastAsia"/>
                <w:b/>
                <w:color w:val="666666"/>
                <w:spacing w:val="6"/>
                <w:szCs w:val="21"/>
              </w:rPr>
              <w:t>/</w:t>
            </w:r>
            <w:r>
              <w:rPr>
                <w:rFonts w:hint="eastAsia"/>
                <w:b/>
                <w:color w:val="666666"/>
                <w:spacing w:val="6"/>
                <w:szCs w:val="21"/>
              </w:rPr>
              <w:t>失败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产品起始日，发行人按发行范围投资人理财产品预购先后顺序和发行规模上限确定投资人认购成功或失败。投资人认购失败的，产品发行人将于募集时间结束后三个工作日内将投资人理财产品预购本金退还至投资人约定交易账户。</w:t>
            </w:r>
          </w:p>
        </w:tc>
      </w:tr>
      <w:tr w:rsidR="002756B7" w:rsidTr="002756B7">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投资本金和收益到账日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u w:val="single"/>
              </w:rPr>
              <w:t>到期一次性</w:t>
            </w:r>
            <w:r>
              <w:rPr>
                <w:rFonts w:hint="eastAsia"/>
                <w:color w:val="666666"/>
                <w:sz w:val="18"/>
                <w:szCs w:val="18"/>
              </w:rPr>
              <w:t>支付收益；投资本金及</w:t>
            </w:r>
            <w:r>
              <w:rPr>
                <w:rFonts w:hint="eastAsia"/>
                <w:color w:val="666666"/>
                <w:sz w:val="18"/>
                <w:szCs w:val="18"/>
                <w:u w:val="single"/>
              </w:rPr>
              <w:t>全部</w:t>
            </w:r>
            <w:r>
              <w:rPr>
                <w:rFonts w:hint="eastAsia"/>
                <w:color w:val="666666"/>
                <w:sz w:val="18"/>
                <w:szCs w:val="18"/>
              </w:rPr>
              <w:t>收益于到期日或提前终止后的三个工作日内（如遇节假日顺延）支付。</w:t>
            </w:r>
          </w:p>
        </w:tc>
      </w:tr>
      <w:tr w:rsidR="002756B7" w:rsidTr="002756B7">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理财资产托管人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兴业</w:t>
            </w:r>
            <w:r>
              <w:rPr>
                <w:rFonts w:hint="eastAsia"/>
                <w:color w:val="666666"/>
                <w:sz w:val="18"/>
                <w:szCs w:val="18"/>
              </w:rPr>
              <w:t>银行</w:t>
            </w:r>
          </w:p>
        </w:tc>
      </w:tr>
      <w:tr w:rsidR="002756B7" w:rsidTr="002756B7">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产品预期</w:t>
            </w:r>
            <w:proofErr w:type="gramStart"/>
            <w:r>
              <w:rPr>
                <w:rFonts w:hint="eastAsia"/>
                <w:b/>
                <w:color w:val="666666"/>
                <w:spacing w:val="6"/>
                <w:szCs w:val="21"/>
              </w:rPr>
              <w:t>最高年化收益率</w:t>
            </w:r>
            <w:proofErr w:type="gramEnd"/>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5.2</w:t>
            </w:r>
            <w:r>
              <w:rPr>
                <w:rFonts w:hint="eastAsia"/>
                <w:color w:val="666666"/>
                <w:sz w:val="18"/>
                <w:szCs w:val="18"/>
              </w:rPr>
              <w:t>%</w:t>
            </w:r>
          </w:p>
        </w:tc>
      </w:tr>
      <w:tr w:rsidR="002756B7" w:rsidTr="002756B7">
        <w:trPr>
          <w:trHeight w:val="126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jc w:val="center"/>
              <w:rPr>
                <w:rFonts w:ascii="宋体" w:eastAsia="宋体" w:hAnsi="宋体" w:cs="宋体"/>
                <w:b/>
                <w:color w:val="666666"/>
                <w:spacing w:val="6"/>
                <w:szCs w:val="21"/>
              </w:rPr>
            </w:pPr>
            <w:r>
              <w:rPr>
                <w:rFonts w:hint="eastAsia"/>
                <w:b/>
                <w:color w:val="666666"/>
                <w:spacing w:val="6"/>
                <w:szCs w:val="21"/>
              </w:rPr>
              <w:lastRenderedPageBreak/>
              <w:t>理财资产托管费率</w:t>
            </w:r>
            <w:r>
              <w:rPr>
                <w:rFonts w:hint="eastAsia"/>
                <w:b/>
                <w:color w:val="666666"/>
                <w:spacing w:val="6"/>
                <w:szCs w:val="21"/>
              </w:rPr>
              <w:t>(</w:t>
            </w:r>
            <w:r>
              <w:rPr>
                <w:rFonts w:hint="eastAsia"/>
                <w:b/>
                <w:color w:val="666666"/>
                <w:spacing w:val="6"/>
                <w:szCs w:val="21"/>
              </w:rPr>
              <w:t>年</w:t>
            </w:r>
            <w:r>
              <w:rPr>
                <w:rFonts w:hint="eastAsia"/>
                <w:b/>
                <w:color w:val="666666"/>
                <w:spacing w:val="6"/>
                <w:szCs w:val="21"/>
              </w:rPr>
              <w:t>)</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0.03</w:t>
            </w:r>
            <w:r>
              <w:rPr>
                <w:rFonts w:hint="eastAsia"/>
                <w:color w:val="666666"/>
                <w:sz w:val="18"/>
                <w:szCs w:val="18"/>
              </w:rPr>
              <w:t>%</w:t>
            </w:r>
          </w:p>
        </w:tc>
        <w:tc>
          <w:tcPr>
            <w:tcW w:w="5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left="28" w:firstLineChars="158" w:firstLine="284"/>
              <w:rPr>
                <w:color w:val="666666"/>
                <w:sz w:val="18"/>
                <w:szCs w:val="18"/>
              </w:rPr>
            </w:pPr>
            <w:r>
              <w:rPr>
                <w:rFonts w:hint="eastAsia"/>
                <w:color w:val="666666"/>
                <w:sz w:val="18"/>
                <w:szCs w:val="18"/>
              </w:rPr>
              <w:t>产品发行人、产品销售行按以下规则收取投资人理财资产托管费、销售手续费：</w:t>
            </w:r>
          </w:p>
          <w:p w:rsidR="002756B7" w:rsidRDefault="002756B7">
            <w:pPr>
              <w:spacing w:before="100" w:beforeAutospacing="1" w:after="100" w:afterAutospacing="1" w:line="280" w:lineRule="exact"/>
              <w:ind w:left="360" w:hanging="360"/>
              <w:rPr>
                <w:rFonts w:hint="eastAsia"/>
                <w:color w:val="666666"/>
                <w:sz w:val="18"/>
                <w:szCs w:val="18"/>
              </w:rPr>
            </w:pPr>
            <w:r>
              <w:rPr>
                <w:rFonts w:ascii="仿宋_GB2312" w:eastAsia="仿宋_GB2312" w:cs="仿宋_GB2312" w:hint="eastAsia"/>
                <w:color w:val="666666"/>
                <w:sz w:val="18"/>
                <w:szCs w:val="18"/>
              </w:rPr>
              <w:t>1、</w:t>
            </w:r>
            <w:r>
              <w:rPr>
                <w:rFonts w:ascii="Times New Roman" w:eastAsia="仿宋_GB2312" w:hAnsi="Times New Roman" w:cs="Times New Roman"/>
                <w:color w:val="666666"/>
                <w:sz w:val="14"/>
                <w:szCs w:val="14"/>
              </w:rPr>
              <w:t xml:space="preserve">  </w:t>
            </w:r>
            <w:r>
              <w:rPr>
                <w:rFonts w:hint="eastAsia"/>
                <w:color w:val="666666"/>
                <w:sz w:val="18"/>
                <w:szCs w:val="18"/>
              </w:rPr>
              <w:t>(</w:t>
            </w:r>
            <w:r>
              <w:rPr>
                <w:rFonts w:hint="eastAsia"/>
                <w:color w:val="666666"/>
                <w:sz w:val="18"/>
                <w:szCs w:val="18"/>
              </w:rPr>
              <w:t>产品</w:t>
            </w:r>
            <w:proofErr w:type="gramStart"/>
            <w:r>
              <w:rPr>
                <w:rFonts w:hint="eastAsia"/>
                <w:color w:val="666666"/>
                <w:sz w:val="18"/>
                <w:szCs w:val="18"/>
              </w:rPr>
              <w:t>实际年化收益率</w:t>
            </w:r>
            <w:proofErr w:type="gramEnd"/>
            <w:r>
              <w:rPr>
                <w:rFonts w:hint="eastAsia"/>
                <w:color w:val="666666"/>
                <w:sz w:val="18"/>
                <w:szCs w:val="18"/>
              </w:rPr>
              <w:t>-</w:t>
            </w:r>
            <w:r>
              <w:rPr>
                <w:rFonts w:hint="eastAsia"/>
                <w:color w:val="666666"/>
                <w:sz w:val="18"/>
                <w:szCs w:val="18"/>
              </w:rPr>
              <w:t>产品预期</w:t>
            </w:r>
            <w:proofErr w:type="gramStart"/>
            <w:r>
              <w:rPr>
                <w:rFonts w:hint="eastAsia"/>
                <w:color w:val="666666"/>
                <w:sz w:val="18"/>
                <w:szCs w:val="18"/>
              </w:rPr>
              <w:t>最高年化收益率</w:t>
            </w:r>
            <w:proofErr w:type="gramEnd"/>
            <w:r>
              <w:rPr>
                <w:rFonts w:hint="eastAsia"/>
                <w:color w:val="666666"/>
                <w:sz w:val="18"/>
                <w:szCs w:val="18"/>
              </w:rPr>
              <w:t>)</w:t>
            </w:r>
            <w:r>
              <w:rPr>
                <w:rFonts w:hint="eastAsia"/>
                <w:color w:val="666666"/>
                <w:sz w:val="18"/>
                <w:szCs w:val="18"/>
              </w:rPr>
              <w:t>＞</w:t>
            </w:r>
            <w:r>
              <w:rPr>
                <w:rFonts w:hint="eastAsia"/>
                <w:color w:val="666666"/>
                <w:sz w:val="18"/>
                <w:szCs w:val="18"/>
              </w:rPr>
              <w:t>0</w:t>
            </w:r>
            <w:r>
              <w:rPr>
                <w:rFonts w:hint="eastAsia"/>
                <w:color w:val="666666"/>
                <w:sz w:val="18"/>
                <w:szCs w:val="18"/>
              </w:rPr>
              <w:t>时，产品发行人代收投资人的理财资产托管费，产品销售行（社）收取投资人的销售手续费。</w:t>
            </w:r>
          </w:p>
          <w:p w:rsidR="002756B7" w:rsidRDefault="002756B7">
            <w:pPr>
              <w:spacing w:before="100" w:beforeAutospacing="1" w:after="100" w:afterAutospacing="1" w:line="280" w:lineRule="exact"/>
              <w:ind w:left="360" w:hanging="360"/>
              <w:rPr>
                <w:rFonts w:hint="eastAsia"/>
                <w:color w:val="666666"/>
                <w:sz w:val="18"/>
                <w:szCs w:val="18"/>
              </w:rPr>
            </w:pPr>
            <w:r>
              <w:rPr>
                <w:rFonts w:ascii="仿宋_GB2312" w:eastAsia="仿宋_GB2312" w:cs="仿宋_GB2312" w:hint="eastAsia"/>
                <w:color w:val="666666"/>
                <w:sz w:val="18"/>
                <w:szCs w:val="18"/>
              </w:rPr>
              <w:t>2、</w:t>
            </w:r>
            <w:r>
              <w:rPr>
                <w:rFonts w:ascii="Times New Roman" w:eastAsia="仿宋_GB2312" w:hAnsi="Times New Roman" w:cs="Times New Roman"/>
                <w:color w:val="666666"/>
                <w:sz w:val="14"/>
                <w:szCs w:val="14"/>
              </w:rPr>
              <w:t xml:space="preserve">  </w:t>
            </w:r>
            <w:r>
              <w:rPr>
                <w:rFonts w:hint="eastAsia"/>
                <w:color w:val="666666"/>
                <w:sz w:val="18"/>
                <w:szCs w:val="18"/>
              </w:rPr>
              <w:t>(</w:t>
            </w:r>
            <w:r>
              <w:rPr>
                <w:rFonts w:hint="eastAsia"/>
                <w:color w:val="666666"/>
                <w:sz w:val="18"/>
                <w:szCs w:val="18"/>
              </w:rPr>
              <w:t>产品</w:t>
            </w:r>
            <w:proofErr w:type="gramStart"/>
            <w:r>
              <w:rPr>
                <w:rFonts w:hint="eastAsia"/>
                <w:color w:val="666666"/>
                <w:sz w:val="18"/>
                <w:szCs w:val="18"/>
              </w:rPr>
              <w:t>实际年化收益率</w:t>
            </w:r>
            <w:proofErr w:type="gramEnd"/>
            <w:r>
              <w:rPr>
                <w:rFonts w:hint="eastAsia"/>
                <w:color w:val="666666"/>
                <w:sz w:val="18"/>
                <w:szCs w:val="18"/>
              </w:rPr>
              <w:t>≤产品预期</w:t>
            </w:r>
            <w:proofErr w:type="gramStart"/>
            <w:r>
              <w:rPr>
                <w:rFonts w:hint="eastAsia"/>
                <w:color w:val="666666"/>
                <w:sz w:val="18"/>
                <w:szCs w:val="18"/>
              </w:rPr>
              <w:t>最高年化收益率</w:t>
            </w:r>
            <w:proofErr w:type="gramEnd"/>
            <w:r>
              <w:rPr>
                <w:rFonts w:hint="eastAsia"/>
                <w:color w:val="666666"/>
                <w:sz w:val="18"/>
                <w:szCs w:val="18"/>
              </w:rPr>
              <w:t xml:space="preserve">) </w:t>
            </w:r>
            <w:r>
              <w:rPr>
                <w:rFonts w:hint="eastAsia"/>
                <w:color w:val="666666"/>
                <w:sz w:val="18"/>
                <w:szCs w:val="18"/>
              </w:rPr>
              <w:t>时，产品发行人承担投资人的理财资产托管费，产品销售行（社）不收取投资人的销售手续费。</w:t>
            </w:r>
          </w:p>
          <w:p w:rsidR="002756B7" w:rsidRDefault="002756B7">
            <w:pPr>
              <w:spacing w:before="100" w:beforeAutospacing="1" w:after="100" w:afterAutospacing="1" w:line="280" w:lineRule="exact"/>
              <w:ind w:left="357" w:hanging="357"/>
              <w:rPr>
                <w:rFonts w:ascii="宋体" w:eastAsia="宋体" w:hAnsi="宋体" w:cs="宋体"/>
                <w:color w:val="666666"/>
                <w:spacing w:val="-4"/>
                <w:sz w:val="18"/>
                <w:szCs w:val="18"/>
              </w:rPr>
            </w:pPr>
            <w:r>
              <w:rPr>
                <w:rFonts w:ascii="仿宋_GB2312" w:eastAsia="仿宋_GB2312" w:cs="仿宋_GB2312" w:hint="eastAsia"/>
                <w:color w:val="666666"/>
                <w:spacing w:val="-4"/>
                <w:sz w:val="18"/>
                <w:szCs w:val="18"/>
              </w:rPr>
              <w:t>3、</w:t>
            </w:r>
            <w:r>
              <w:rPr>
                <w:rFonts w:ascii="Times New Roman" w:eastAsia="仿宋_GB2312" w:hAnsi="Times New Roman" w:cs="Times New Roman"/>
                <w:color w:val="666666"/>
                <w:spacing w:val="-4"/>
                <w:sz w:val="14"/>
                <w:szCs w:val="14"/>
              </w:rPr>
              <w:t xml:space="preserve">  </w:t>
            </w:r>
            <w:r>
              <w:rPr>
                <w:rFonts w:hint="eastAsia"/>
                <w:color w:val="666666"/>
                <w:spacing w:val="-4"/>
                <w:sz w:val="18"/>
                <w:szCs w:val="18"/>
              </w:rPr>
              <w:t>产品</w:t>
            </w:r>
            <w:proofErr w:type="gramStart"/>
            <w:r>
              <w:rPr>
                <w:rFonts w:hint="eastAsia"/>
                <w:color w:val="666666"/>
                <w:spacing w:val="-4"/>
                <w:sz w:val="18"/>
                <w:szCs w:val="18"/>
              </w:rPr>
              <w:t>实际年化收益率</w:t>
            </w:r>
            <w:proofErr w:type="gramEnd"/>
            <w:r>
              <w:rPr>
                <w:rFonts w:hint="eastAsia"/>
                <w:color w:val="666666"/>
                <w:sz w:val="18"/>
                <w:szCs w:val="18"/>
              </w:rPr>
              <w:t>≤</w:t>
            </w:r>
            <w:r>
              <w:rPr>
                <w:rFonts w:hint="eastAsia"/>
                <w:color w:val="666666"/>
                <w:spacing w:val="-4"/>
                <w:sz w:val="18"/>
                <w:szCs w:val="18"/>
              </w:rPr>
              <w:t>0</w:t>
            </w:r>
            <w:r>
              <w:rPr>
                <w:rFonts w:hint="eastAsia"/>
                <w:color w:val="666666"/>
                <w:spacing w:val="-4"/>
                <w:sz w:val="18"/>
                <w:szCs w:val="18"/>
              </w:rPr>
              <w:t>时</w:t>
            </w:r>
            <w:r>
              <w:rPr>
                <w:rFonts w:hint="eastAsia"/>
                <w:color w:val="666666"/>
                <w:spacing w:val="-4"/>
                <w:sz w:val="18"/>
                <w:szCs w:val="18"/>
              </w:rPr>
              <w:t>,</w:t>
            </w:r>
            <w:r>
              <w:rPr>
                <w:rFonts w:hint="eastAsia"/>
                <w:color w:val="666666"/>
                <w:spacing w:val="-4"/>
                <w:sz w:val="18"/>
                <w:szCs w:val="18"/>
              </w:rPr>
              <w:t>产品发行人承担投资人的理财资产托管费</w:t>
            </w:r>
            <w:r>
              <w:rPr>
                <w:rFonts w:hint="eastAsia"/>
                <w:color w:val="666666"/>
                <w:spacing w:val="-4"/>
                <w:sz w:val="18"/>
                <w:szCs w:val="18"/>
              </w:rPr>
              <w:t>,</w:t>
            </w:r>
            <w:r>
              <w:rPr>
                <w:rFonts w:hint="eastAsia"/>
                <w:color w:val="666666"/>
                <w:spacing w:val="-4"/>
                <w:sz w:val="18"/>
                <w:szCs w:val="18"/>
              </w:rPr>
              <w:t>产品销售行</w:t>
            </w:r>
            <w:r>
              <w:rPr>
                <w:rFonts w:hint="eastAsia"/>
                <w:color w:val="666666"/>
                <w:spacing w:val="-4"/>
                <w:sz w:val="18"/>
                <w:szCs w:val="18"/>
              </w:rPr>
              <w:t>(</w:t>
            </w:r>
            <w:r>
              <w:rPr>
                <w:rFonts w:hint="eastAsia"/>
                <w:color w:val="666666"/>
                <w:spacing w:val="-4"/>
                <w:sz w:val="18"/>
                <w:szCs w:val="18"/>
              </w:rPr>
              <w:t>社</w:t>
            </w:r>
            <w:r>
              <w:rPr>
                <w:rFonts w:hint="eastAsia"/>
                <w:color w:val="666666"/>
                <w:spacing w:val="-4"/>
                <w:sz w:val="18"/>
                <w:szCs w:val="18"/>
              </w:rPr>
              <w:t>)</w:t>
            </w:r>
            <w:r>
              <w:rPr>
                <w:rFonts w:hint="eastAsia"/>
                <w:color w:val="666666"/>
                <w:spacing w:val="-4"/>
                <w:sz w:val="18"/>
                <w:szCs w:val="18"/>
              </w:rPr>
              <w:t>不收取投资人的销售手续费。</w:t>
            </w:r>
          </w:p>
        </w:tc>
      </w:tr>
      <w:tr w:rsidR="002756B7" w:rsidTr="002756B7">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jc w:val="center"/>
              <w:rPr>
                <w:rFonts w:ascii="宋体" w:eastAsia="宋体" w:hAnsi="宋体" w:cs="宋体"/>
                <w:b/>
                <w:color w:val="666666"/>
                <w:spacing w:val="6"/>
                <w:szCs w:val="21"/>
              </w:rPr>
            </w:pPr>
            <w:r>
              <w:rPr>
                <w:rFonts w:hint="eastAsia"/>
                <w:b/>
                <w:color w:val="666666"/>
                <w:spacing w:val="6"/>
                <w:szCs w:val="21"/>
              </w:rPr>
              <w:t>销售手续费率（年）</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0.3</w:t>
            </w:r>
            <w:r>
              <w:rPr>
                <w:rFonts w:hint="eastAsia"/>
                <w:color w:val="666666"/>
                <w:sz w:val="18"/>
                <w:szCs w:val="18"/>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6B7" w:rsidRDefault="002756B7">
            <w:pPr>
              <w:rPr>
                <w:rFonts w:ascii="宋体" w:eastAsia="宋体" w:hAnsi="宋体" w:cs="宋体"/>
                <w:color w:val="666666"/>
                <w:spacing w:val="-4"/>
                <w:sz w:val="18"/>
                <w:szCs w:val="18"/>
              </w:rPr>
            </w:pPr>
          </w:p>
        </w:tc>
      </w:tr>
      <w:tr w:rsidR="002756B7" w:rsidTr="002756B7">
        <w:trPr>
          <w:trHeight w:val="98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ind w:firstLine="34"/>
              <w:jc w:val="center"/>
              <w:rPr>
                <w:rFonts w:ascii="宋体" w:eastAsia="宋体" w:hAnsi="宋体" w:cs="宋体"/>
                <w:b/>
                <w:color w:val="666666"/>
                <w:spacing w:val="6"/>
                <w:szCs w:val="21"/>
              </w:rPr>
            </w:pPr>
            <w:r>
              <w:rPr>
                <w:rFonts w:hint="eastAsia"/>
                <w:b/>
                <w:color w:val="666666"/>
                <w:spacing w:val="6"/>
                <w:szCs w:val="21"/>
              </w:rPr>
              <w:t>理财业务管理费率（年）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产品发行人按以下规则收取投资人理财业务管理费率：产品</w:t>
            </w:r>
            <w:proofErr w:type="gramStart"/>
            <w:r>
              <w:rPr>
                <w:rFonts w:hint="eastAsia"/>
                <w:color w:val="666666"/>
                <w:sz w:val="18"/>
                <w:szCs w:val="18"/>
              </w:rPr>
              <w:t>实际年化收益率</w:t>
            </w:r>
            <w:proofErr w:type="gramEnd"/>
            <w:r>
              <w:rPr>
                <w:rFonts w:hint="eastAsia"/>
                <w:color w:val="666666"/>
                <w:sz w:val="18"/>
                <w:szCs w:val="18"/>
              </w:rPr>
              <w:t>-</w:t>
            </w:r>
            <w:r>
              <w:rPr>
                <w:rFonts w:hint="eastAsia"/>
                <w:color w:val="666666"/>
                <w:sz w:val="18"/>
                <w:szCs w:val="18"/>
              </w:rPr>
              <w:t>产品预期</w:t>
            </w:r>
            <w:proofErr w:type="gramStart"/>
            <w:r>
              <w:rPr>
                <w:rFonts w:hint="eastAsia"/>
                <w:color w:val="666666"/>
                <w:sz w:val="18"/>
                <w:szCs w:val="18"/>
              </w:rPr>
              <w:t>最高年化收益率</w:t>
            </w:r>
            <w:proofErr w:type="gramEnd"/>
            <w:r>
              <w:rPr>
                <w:rFonts w:hint="eastAsia"/>
                <w:color w:val="666666"/>
                <w:sz w:val="18"/>
                <w:szCs w:val="18"/>
              </w:rPr>
              <w:t>-</w:t>
            </w:r>
            <w:r>
              <w:rPr>
                <w:rFonts w:hint="eastAsia"/>
                <w:color w:val="666666"/>
                <w:sz w:val="18"/>
                <w:szCs w:val="18"/>
              </w:rPr>
              <w:t>理财资产托管费</w:t>
            </w:r>
            <w:r>
              <w:rPr>
                <w:rFonts w:hint="eastAsia"/>
                <w:color w:val="666666"/>
                <w:sz w:val="18"/>
                <w:szCs w:val="18"/>
              </w:rPr>
              <w:t>(</w:t>
            </w:r>
            <w:r>
              <w:rPr>
                <w:rFonts w:hint="eastAsia"/>
                <w:color w:val="666666"/>
                <w:sz w:val="18"/>
                <w:szCs w:val="18"/>
              </w:rPr>
              <w:t>年</w:t>
            </w:r>
            <w:r>
              <w:rPr>
                <w:rFonts w:hint="eastAsia"/>
                <w:color w:val="666666"/>
                <w:sz w:val="18"/>
                <w:szCs w:val="18"/>
              </w:rPr>
              <w:t>)-</w:t>
            </w:r>
            <w:r>
              <w:rPr>
                <w:rFonts w:hint="eastAsia"/>
                <w:color w:val="666666"/>
                <w:sz w:val="18"/>
                <w:szCs w:val="18"/>
              </w:rPr>
              <w:t>销售手续费</w:t>
            </w:r>
            <w:r>
              <w:rPr>
                <w:rFonts w:hint="eastAsia"/>
                <w:color w:val="666666"/>
                <w:sz w:val="18"/>
                <w:szCs w:val="18"/>
              </w:rPr>
              <w:t>(</w:t>
            </w:r>
            <w:r>
              <w:rPr>
                <w:rFonts w:hint="eastAsia"/>
                <w:color w:val="666666"/>
                <w:sz w:val="18"/>
                <w:szCs w:val="18"/>
              </w:rPr>
              <w:t>年</w:t>
            </w:r>
            <w:r>
              <w:rPr>
                <w:rFonts w:hint="eastAsia"/>
                <w:color w:val="666666"/>
                <w:sz w:val="18"/>
                <w:szCs w:val="18"/>
              </w:rPr>
              <w:t>)</w:t>
            </w:r>
            <w:r>
              <w:rPr>
                <w:rFonts w:hint="eastAsia"/>
                <w:color w:val="666666"/>
                <w:sz w:val="18"/>
                <w:szCs w:val="18"/>
              </w:rPr>
              <w:t>的剩余部分。</w:t>
            </w:r>
          </w:p>
        </w:tc>
      </w:tr>
      <w:tr w:rsidR="002756B7" w:rsidTr="002756B7">
        <w:trPr>
          <w:trHeight w:val="701"/>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jc w:val="center"/>
              <w:rPr>
                <w:rFonts w:ascii="宋体" w:eastAsia="仿宋_GB2312" w:hAnsi="宋体" w:cs="宋体"/>
                <w:color w:val="666666"/>
                <w:spacing w:val="6"/>
                <w:szCs w:val="21"/>
              </w:rPr>
            </w:pPr>
            <w:r>
              <w:rPr>
                <w:rFonts w:hint="eastAsia"/>
                <w:b/>
                <w:color w:val="666666"/>
                <w:spacing w:val="6"/>
                <w:szCs w:val="21"/>
              </w:rPr>
              <w:t>提前终止权</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投资人无权提前终止产品；产品发行人有权按照产品投资实际情况，提前终止产品，并提前终止日前五个工作日内发布信息公告。</w:t>
            </w:r>
          </w:p>
        </w:tc>
      </w:tr>
      <w:tr w:rsidR="002756B7" w:rsidTr="002756B7">
        <w:trPr>
          <w:trHeight w:val="54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ind w:firstLine="34"/>
              <w:jc w:val="center"/>
              <w:rPr>
                <w:rFonts w:ascii="宋体" w:eastAsia="宋体" w:hAnsi="宋体" w:cs="宋体"/>
                <w:b/>
                <w:color w:val="666666"/>
                <w:spacing w:val="6"/>
                <w:szCs w:val="21"/>
              </w:rPr>
            </w:pPr>
            <w:r>
              <w:rPr>
                <w:rFonts w:hint="eastAsia"/>
                <w:b/>
                <w:color w:val="666666"/>
                <w:spacing w:val="6"/>
                <w:szCs w:val="21"/>
              </w:rPr>
              <w:t>工作日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rPr>
              <w:t>国家法定工作日。</w:t>
            </w:r>
          </w:p>
        </w:tc>
      </w:tr>
      <w:tr w:rsidR="002756B7" w:rsidTr="002756B7">
        <w:trPr>
          <w:trHeight w:val="619"/>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jc w:val="center"/>
              <w:rPr>
                <w:rFonts w:ascii="宋体" w:eastAsia="宋体" w:hAnsi="宋体" w:cs="宋体"/>
                <w:b/>
                <w:color w:val="666666"/>
                <w:spacing w:val="6"/>
                <w:szCs w:val="21"/>
              </w:rPr>
            </w:pPr>
            <w:r>
              <w:rPr>
                <w:rFonts w:hint="eastAsia"/>
                <w:b/>
                <w:color w:val="666666"/>
                <w:spacing w:val="6"/>
                <w:szCs w:val="21"/>
              </w:rPr>
              <w:t>税款缴付</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理财收益的应纳税款由投资者自行申报及缴纳。</w:t>
            </w:r>
            <w:r>
              <w:rPr>
                <w:rFonts w:hint="eastAsia"/>
                <w:color w:val="666666"/>
                <w:sz w:val="18"/>
                <w:szCs w:val="18"/>
              </w:rPr>
              <w:t xml:space="preserve"> </w:t>
            </w:r>
          </w:p>
        </w:tc>
      </w:tr>
      <w:tr w:rsidR="002756B7" w:rsidTr="002756B7">
        <w:trPr>
          <w:trHeight w:val="94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440" w:lineRule="exact"/>
              <w:jc w:val="center"/>
              <w:rPr>
                <w:rFonts w:ascii="宋体" w:eastAsia="仿宋_GB2312" w:hAnsi="宋体" w:cs="宋体"/>
                <w:color w:val="666666"/>
                <w:spacing w:val="6"/>
                <w:szCs w:val="21"/>
              </w:rPr>
            </w:pPr>
            <w:r>
              <w:rPr>
                <w:rFonts w:hint="eastAsia"/>
                <w:b/>
                <w:color w:val="666666"/>
                <w:spacing w:val="6"/>
                <w:szCs w:val="21"/>
              </w:rPr>
              <w:t>其他规定</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2756B7" w:rsidRDefault="002756B7">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募集时间内，投资人资金按照活期存款利息计息，利息不计</w:t>
            </w:r>
            <w:proofErr w:type="gramStart"/>
            <w:r>
              <w:rPr>
                <w:rFonts w:hint="eastAsia"/>
                <w:color w:val="666666"/>
                <w:sz w:val="18"/>
                <w:szCs w:val="18"/>
              </w:rPr>
              <w:t>入投资</w:t>
            </w:r>
            <w:proofErr w:type="gramEnd"/>
            <w:r>
              <w:rPr>
                <w:rFonts w:hint="eastAsia"/>
                <w:color w:val="666666"/>
                <w:sz w:val="18"/>
                <w:szCs w:val="18"/>
              </w:rPr>
              <w:t>份额。产品到期日（或提前终止日）至投资本金和收益到账日之间，投资人资金不计收益。</w:t>
            </w:r>
            <w:r>
              <w:rPr>
                <w:rFonts w:hint="eastAsia"/>
                <w:color w:val="666666"/>
                <w:sz w:val="18"/>
                <w:szCs w:val="18"/>
              </w:rPr>
              <w:t xml:space="preserve"> </w:t>
            </w:r>
          </w:p>
        </w:tc>
      </w:tr>
    </w:tbl>
    <w:p w:rsidR="00114B35" w:rsidRPr="002756B7" w:rsidRDefault="00114B35" w:rsidP="00AB25CC">
      <w:bookmarkStart w:id="0" w:name="_GoBack"/>
      <w:bookmarkEnd w:id="0"/>
    </w:p>
    <w:sectPr w:rsidR="00114B35" w:rsidRPr="002756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3"/>
    <w:rsid w:val="00114B35"/>
    <w:rsid w:val="00240515"/>
    <w:rsid w:val="002756B7"/>
    <w:rsid w:val="003D0C12"/>
    <w:rsid w:val="009B60A3"/>
    <w:rsid w:val="00AB25CC"/>
    <w:rsid w:val="00DA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C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C1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C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C1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506">
      <w:bodyDiv w:val="1"/>
      <w:marLeft w:val="0"/>
      <w:marRight w:val="0"/>
      <w:marTop w:val="0"/>
      <w:marBottom w:val="0"/>
      <w:divBdr>
        <w:top w:val="none" w:sz="0" w:space="0" w:color="auto"/>
        <w:left w:val="none" w:sz="0" w:space="0" w:color="auto"/>
        <w:bottom w:val="none" w:sz="0" w:space="0" w:color="auto"/>
        <w:right w:val="none" w:sz="0" w:space="0" w:color="auto"/>
      </w:divBdr>
      <w:divsChild>
        <w:div w:id="2072390139">
          <w:marLeft w:val="0"/>
          <w:marRight w:val="0"/>
          <w:marTop w:val="0"/>
          <w:marBottom w:val="0"/>
          <w:divBdr>
            <w:top w:val="none" w:sz="0" w:space="0" w:color="auto"/>
            <w:left w:val="single" w:sz="6" w:space="0" w:color="E6E6E6"/>
            <w:bottom w:val="none" w:sz="0" w:space="0" w:color="auto"/>
            <w:right w:val="single" w:sz="6" w:space="0" w:color="E6E6E6"/>
          </w:divBdr>
          <w:divsChild>
            <w:div w:id="915553040">
              <w:marLeft w:val="225"/>
              <w:marRight w:val="0"/>
              <w:marTop w:val="0"/>
              <w:marBottom w:val="0"/>
              <w:divBdr>
                <w:top w:val="none" w:sz="0" w:space="0" w:color="auto"/>
                <w:left w:val="none" w:sz="0" w:space="0" w:color="auto"/>
                <w:bottom w:val="none" w:sz="0" w:space="0" w:color="auto"/>
                <w:right w:val="none" w:sz="0" w:space="0" w:color="auto"/>
              </w:divBdr>
              <w:divsChild>
                <w:div w:id="240484272">
                  <w:marLeft w:val="0"/>
                  <w:marRight w:val="0"/>
                  <w:marTop w:val="150"/>
                  <w:marBottom w:val="150"/>
                  <w:divBdr>
                    <w:top w:val="none" w:sz="0" w:space="0" w:color="auto"/>
                    <w:left w:val="none" w:sz="0" w:space="0" w:color="auto"/>
                    <w:bottom w:val="none" w:sz="0" w:space="0" w:color="auto"/>
                    <w:right w:val="none" w:sz="0" w:space="0" w:color="auto"/>
                  </w:divBdr>
                </w:div>
                <w:div w:id="6060729">
                  <w:marLeft w:val="2"/>
                  <w:marRight w:val="2"/>
                  <w:marTop w:val="150"/>
                  <w:marBottom w:val="150"/>
                  <w:divBdr>
                    <w:top w:val="none" w:sz="0" w:space="0" w:color="auto"/>
                    <w:left w:val="none" w:sz="0" w:space="0" w:color="auto"/>
                    <w:bottom w:val="none" w:sz="0" w:space="0" w:color="auto"/>
                    <w:right w:val="none" w:sz="0" w:space="0" w:color="auto"/>
                  </w:divBdr>
                </w:div>
              </w:divsChild>
            </w:div>
          </w:divsChild>
        </w:div>
      </w:divsChild>
    </w:div>
    <w:div w:id="538468621">
      <w:bodyDiv w:val="1"/>
      <w:marLeft w:val="0"/>
      <w:marRight w:val="0"/>
      <w:marTop w:val="0"/>
      <w:marBottom w:val="0"/>
      <w:divBdr>
        <w:top w:val="none" w:sz="0" w:space="0" w:color="auto"/>
        <w:left w:val="none" w:sz="0" w:space="0" w:color="auto"/>
        <w:bottom w:val="none" w:sz="0" w:space="0" w:color="auto"/>
        <w:right w:val="none" w:sz="0" w:space="0" w:color="auto"/>
      </w:divBdr>
      <w:divsChild>
        <w:div w:id="2139184702">
          <w:marLeft w:val="0"/>
          <w:marRight w:val="0"/>
          <w:marTop w:val="0"/>
          <w:marBottom w:val="0"/>
          <w:divBdr>
            <w:top w:val="none" w:sz="0" w:space="0" w:color="auto"/>
            <w:left w:val="single" w:sz="6" w:space="0" w:color="E6E6E6"/>
            <w:bottom w:val="none" w:sz="0" w:space="0" w:color="auto"/>
            <w:right w:val="single" w:sz="6" w:space="0" w:color="E6E6E6"/>
          </w:divBdr>
          <w:divsChild>
            <w:div w:id="989754603">
              <w:marLeft w:val="225"/>
              <w:marRight w:val="0"/>
              <w:marTop w:val="0"/>
              <w:marBottom w:val="0"/>
              <w:divBdr>
                <w:top w:val="none" w:sz="0" w:space="0" w:color="auto"/>
                <w:left w:val="none" w:sz="0" w:space="0" w:color="auto"/>
                <w:bottom w:val="none" w:sz="0" w:space="0" w:color="auto"/>
                <w:right w:val="none" w:sz="0" w:space="0" w:color="auto"/>
              </w:divBdr>
              <w:divsChild>
                <w:div w:id="2120179393">
                  <w:marLeft w:val="0"/>
                  <w:marRight w:val="0"/>
                  <w:marTop w:val="150"/>
                  <w:marBottom w:val="150"/>
                  <w:divBdr>
                    <w:top w:val="none" w:sz="0" w:space="0" w:color="auto"/>
                    <w:left w:val="none" w:sz="0" w:space="0" w:color="auto"/>
                    <w:bottom w:val="none" w:sz="0" w:space="0" w:color="auto"/>
                    <w:right w:val="none" w:sz="0" w:space="0" w:color="auto"/>
                  </w:divBdr>
                </w:div>
                <w:div w:id="1469856830">
                  <w:marLeft w:val="2"/>
                  <w:marRight w:val="2"/>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Microsoft Office Word</Application>
  <DocSecurity>0</DocSecurity>
  <Lines>9</Lines>
  <Paragraphs>2</Paragraphs>
  <ScaleCrop>false</ScaleCrop>
  <Company>WwW.YlmF.CoM</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cp:revision>
  <dcterms:created xsi:type="dcterms:W3CDTF">2015-07-02T14:17:00Z</dcterms:created>
  <dcterms:modified xsi:type="dcterms:W3CDTF">2015-07-02T14:37:00Z</dcterms:modified>
</cp:coreProperties>
</file>