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大标宋简体" w:hAnsi="Calibri" w:eastAsia="方正大标宋简体" w:cs="Times New Roman"/>
          <w:sz w:val="44"/>
          <w:szCs w:val="44"/>
          <w:lang w:val="en-US" w:eastAsia="zh-CN"/>
        </w:rPr>
      </w:pPr>
      <w:r>
        <w:rPr>
          <w:rFonts w:hint="eastAsia" w:ascii="方正大标宋简体" w:hAnsi="Calibri" w:eastAsia="方正大标宋简体" w:cs="Times New Roman"/>
          <w:sz w:val="44"/>
          <w:szCs w:val="44"/>
          <w:lang w:val="en-US" w:eastAsia="zh-CN"/>
        </w:rPr>
        <w:t>铜鼓农商银行2022年社会责任报告</w:t>
      </w:r>
    </w:p>
    <w:p>
      <w:pPr>
        <w:pStyle w:val="2"/>
        <w:rPr>
          <w:rFonts w:hint="eastAsia"/>
          <w:lang w:val="en-US" w:eastAsia="zh-CN"/>
        </w:rPr>
      </w:pP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铜鼓农商银行坚持稳中求进总基调，牢牢把握固本强基、提质增效工作总要求，坚持支农支小战略定位，主动融入县域经济，积极履行社会责任，展示了农商银行县域本土银行的社会责任担当，为支持地方经济社会发展做出了积极贡献。</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contextualSpacing/>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一、践行龙头担当  护航区域经济发展</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（一）助力稳住经济大盘。</w:t>
      </w:r>
      <w:r>
        <w:rPr>
          <w:rFonts w:hint="eastAsia" w:ascii="仿宋_GB2312" w:eastAsia="仿宋_GB2312"/>
          <w:sz w:val="32"/>
          <w:szCs w:val="32"/>
          <w:lang w:val="en-US" w:eastAsia="zh-CN"/>
        </w:rPr>
        <w:t>铜鼓农商银行坚持“稳”字当头，切实做好稳经济保增长各项金融服务，助力市场主体迎难而上、攻克时艰。</w:t>
      </w:r>
      <w:r>
        <w:rPr>
          <w:rFonts w:hint="eastAsia" w:ascii="仿宋_GB2312" w:hAnsi="Times New Roman" w:eastAsia="仿宋_GB2312" w:cs="Times New Roman"/>
          <w:b/>
          <w:bCs/>
          <w:sz w:val="32"/>
          <w:szCs w:val="32"/>
          <w:lang w:val="en-US" w:eastAsia="zh-CN"/>
        </w:rPr>
        <w:t>一是加大投放“增规模”。</w:t>
      </w:r>
      <w:r>
        <w:rPr>
          <w:rFonts w:hint="eastAsia" w:ascii="仿宋_GB2312" w:eastAsia="仿宋_GB2312"/>
          <w:sz w:val="32"/>
          <w:szCs w:val="32"/>
          <w:lang w:val="en-US" w:eastAsia="zh-CN"/>
        </w:rPr>
        <w:t>积极跟进辖内各类主体融资需求，加大信贷投放力度，贷款余额较年初净增2.26亿元。</w:t>
      </w:r>
      <w:r>
        <w:rPr>
          <w:rFonts w:hint="eastAsia" w:ascii="仿宋_GB2312" w:hAnsi="Times New Roman" w:eastAsia="仿宋_GB2312" w:cs="Times New Roman"/>
          <w:b/>
          <w:bCs/>
          <w:sz w:val="32"/>
          <w:szCs w:val="32"/>
          <w:lang w:val="en-US" w:eastAsia="zh-CN"/>
        </w:rPr>
        <w:t>二是减费让利“减压力”。</w:t>
      </w:r>
      <w:r>
        <w:rPr>
          <w:rFonts w:hint="eastAsia" w:ascii="仿宋_GB2312" w:eastAsia="仿宋_GB2312"/>
          <w:color w:val="auto"/>
          <w:sz w:val="32"/>
          <w:szCs w:val="32"/>
          <w:lang w:val="en-US" w:eastAsia="zh-CN"/>
        </w:rPr>
        <w:t>持续执行贷款利率优惠，有效降低企业融资成本，2022年累计优惠贷款利息432万元；严格执行省联社16个免收项目、3个优惠项目的支付手续费让利政策，累计减免费用25.3万元。</w:t>
      </w:r>
      <w:r>
        <w:rPr>
          <w:rFonts w:hint="eastAsia" w:ascii="仿宋_GB2312" w:hAnsi="Times New Roman" w:eastAsia="仿宋_GB2312" w:cs="Times New Roman"/>
          <w:b/>
          <w:bCs/>
          <w:sz w:val="32"/>
          <w:szCs w:val="32"/>
          <w:lang w:val="en-US" w:eastAsia="zh-CN"/>
        </w:rPr>
        <w:t>三是落实政策“解困境”。</w:t>
      </w:r>
      <w:r>
        <w:rPr>
          <w:rFonts w:hint="eastAsia" w:ascii="仿宋_GB2312" w:eastAsia="仿宋_GB2312"/>
          <w:sz w:val="32"/>
          <w:szCs w:val="32"/>
          <w:lang w:val="en-US" w:eastAsia="zh-CN"/>
        </w:rPr>
        <w:t>严格落实普惠小微贷款优惠政策，大力支持受困企业抵御疫情影响，2022年累计办理普惠小微贷款延期还本</w:t>
      </w:r>
      <w:r>
        <w:rPr>
          <w:rFonts w:hint="eastAsia" w:ascii="仿宋_GB2312" w:eastAsia="仿宋_GB2312"/>
          <w:color w:val="auto"/>
          <w:sz w:val="32"/>
          <w:szCs w:val="32"/>
          <w:lang w:val="en-US" w:eastAsia="zh-CN"/>
        </w:rPr>
        <w:t>18</w:t>
      </w:r>
      <w:r>
        <w:rPr>
          <w:rFonts w:hint="eastAsia" w:ascii="仿宋_GB2312" w:eastAsia="仿宋_GB2312"/>
          <w:sz w:val="32"/>
          <w:szCs w:val="32"/>
          <w:lang w:val="en-US" w:eastAsia="zh-CN"/>
        </w:rPr>
        <w:t>户，金额</w:t>
      </w:r>
      <w:r>
        <w:rPr>
          <w:rFonts w:hint="eastAsia" w:ascii="仿宋_GB2312" w:eastAsia="仿宋_GB2312"/>
          <w:color w:val="auto"/>
          <w:sz w:val="32"/>
          <w:szCs w:val="32"/>
          <w:lang w:val="en-US" w:eastAsia="zh-CN"/>
        </w:rPr>
        <w:t>4160</w:t>
      </w:r>
      <w:r>
        <w:rPr>
          <w:rFonts w:hint="eastAsia" w:ascii="仿宋_GB2312" w:eastAsia="仿宋_GB2312"/>
          <w:sz w:val="32"/>
          <w:szCs w:val="32"/>
          <w:lang w:val="en-US" w:eastAsia="zh-CN"/>
        </w:rPr>
        <w:t>万元。</w:t>
      </w:r>
      <w:r>
        <w:rPr>
          <w:rFonts w:hint="eastAsia" w:ascii="仿宋_GB2312" w:hAnsi="Times New Roman" w:eastAsia="仿宋_GB2312" w:cs="Times New Roman"/>
          <w:b/>
          <w:bCs/>
          <w:sz w:val="32"/>
          <w:szCs w:val="32"/>
          <w:lang w:val="en-US" w:eastAsia="zh-CN"/>
        </w:rPr>
        <w:t>四是创新产品“加速度”。</w:t>
      </w:r>
      <w:r>
        <w:rPr>
          <w:rFonts w:hint="eastAsia" w:ascii="仿宋_GB2312" w:eastAsia="仿宋_GB2312"/>
          <w:sz w:val="32"/>
          <w:szCs w:val="32"/>
          <w:lang w:val="en-US" w:eastAsia="zh-CN"/>
        </w:rPr>
        <w:t>积极创新信贷产品，精准对接不同客户信贷需求，推出“乡贤贷”、“暖心贷”、“黄精贷”、“建易贷”等信贷产品，通过创新产品发放贷款7045万元。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Calibri" w:eastAsia="仿宋_GB2312" w:cs="Times New Roman"/>
          <w:sz w:val="32"/>
          <w:szCs w:val="32"/>
        </w:rPr>
      </w:pPr>
      <w:r>
        <w:rPr>
          <w:rFonts w:hint="eastAsia" w:ascii="楷体_GB2312" w:hAnsi="楷体_GB2312" w:eastAsia="楷体_GB2312" w:cs="楷体_GB2312"/>
          <w:b/>
          <w:bCs/>
          <w:kern w:val="2"/>
          <w:sz w:val="32"/>
          <w:szCs w:val="32"/>
          <w:lang w:val="en-US" w:eastAsia="zh-CN" w:bidi="ar-SA"/>
        </w:rPr>
        <w:t>（二）融入国家发展战略。</w:t>
      </w:r>
      <w:r>
        <w:rPr>
          <w:rFonts w:hint="eastAsia" w:ascii="仿宋_GB2312" w:hAnsi="Calibri" w:eastAsia="仿宋_GB2312" w:cs="Times New Roman"/>
          <w:sz w:val="32"/>
          <w:szCs w:val="32"/>
          <w:lang w:eastAsia="zh-CN"/>
        </w:rPr>
        <w:t>铜鼓农商银行牢固树立绿色理念，不断完善绿色贷款考核体系，加大绿色贷款在绩效考核中的占比，建立有效的绿色信贷考核评价体系，引导和督促相关网点和信贷人员将有限的信贷规模资源持续优先向低碳经济、节能减排、环境保护、清洁能源、循环经济领域倾斜，增强绿色信贷投放的深度、广度、精度。2022年末，本行绿色信贷余额6828万元，较年初净增 2120万元。积极跟进企业产业链、供应链和价值链发展融资需求，积极对接“专精特新”中小企业。2022年累计发放普惠小微贷款9.82亿元，发放“专精特新”中小企业贷款2230万元，共减免利息20余万元</w:t>
      </w:r>
      <w:bookmarkStart w:id="0" w:name="_GoBack"/>
      <w:bookmarkEnd w:id="0"/>
      <w:r>
        <w:rPr>
          <w:rFonts w:hint="eastAsia" w:ascii="仿宋_GB2312" w:hAnsi="Calibri" w:eastAsia="仿宋_GB2312" w:cs="Times New Roman"/>
          <w:sz w:val="32"/>
          <w:szCs w:val="32"/>
        </w:rPr>
        <w:t>。</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（三）推进客户三年翻番。</w:t>
      </w:r>
      <w:r>
        <w:rPr>
          <w:rFonts w:hint="eastAsia" w:ascii="仿宋_GB2312" w:hAnsi="Times New Roman" w:eastAsia="仿宋_GB2312" w:cs="Times New Roman"/>
          <w:sz w:val="32"/>
          <w:szCs w:val="32"/>
          <w:lang w:val="en-US" w:eastAsia="zh-CN"/>
        </w:rPr>
        <w:t>至022年末，贷款授信户数较年初净增1452户；</w:t>
      </w:r>
      <w:r>
        <w:rPr>
          <w:rFonts w:hint="eastAsia" w:ascii="仿宋_GB2312" w:hAnsi="Times New Roman" w:eastAsia="仿宋_GB2312" w:cs="Times New Roman"/>
          <w:sz w:val="32"/>
          <w:szCs w:val="32"/>
          <w:highlight w:val="none"/>
          <w:lang w:val="en-US" w:eastAsia="zh-CN"/>
        </w:rPr>
        <w:t>客户授信覆盖面33.64%，较年初增加3.5个百分点；贷款用信客户数较年初净增320户，贷款用信覆盖面25.8%，较年初上升1.35个百分点。</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是全员营销“寻”客户。</w:t>
      </w:r>
      <w:r>
        <w:rPr>
          <w:rFonts w:hint="eastAsia" w:ascii="仿宋_GB2312" w:hAnsi="仿宋_GB2312" w:eastAsia="仿宋_GB2312" w:cs="仿宋_GB2312"/>
          <w:color w:val="auto"/>
          <w:sz w:val="32"/>
          <w:szCs w:val="32"/>
          <w:lang w:val="en-US" w:eastAsia="zh-CN"/>
        </w:rPr>
        <w:t>制定全员贷款客户营销方案，全行每一位干部员工均分配任务，规定完成任务时限，明确奖罚</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
          <w:bCs/>
          <w:color w:val="auto"/>
          <w:sz w:val="32"/>
          <w:szCs w:val="32"/>
          <w:lang w:val="en-US" w:eastAsia="zh-CN"/>
        </w:rPr>
        <w:t>是电话营销“挖”客户。</w:t>
      </w:r>
      <w:r>
        <w:rPr>
          <w:rFonts w:hint="eastAsia" w:ascii="仿宋_GB2312" w:eastAsia="仿宋_GB2312"/>
          <w:sz w:val="32"/>
          <w:szCs w:val="32"/>
          <w:lang w:val="en-US" w:eastAsia="zh-CN"/>
        </w:rPr>
        <w:t>导出近三年已注销合同的客户数据，与存量贷款客户数据进行匹配，将流失客户导入信贷系统营销名单，要求每位客户经理进行电话对接，认真咨询客户信贷需求，逐笔登记台账。今年电话对接客户21895位，新增授信客户752人。</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b/>
          <w:bCs/>
          <w:color w:val="auto"/>
          <w:sz w:val="32"/>
          <w:szCs w:val="32"/>
          <w:lang w:val="en-US" w:eastAsia="zh-CN"/>
        </w:rPr>
        <w:t>是三资平台“找”客户。</w:t>
      </w:r>
      <w:r>
        <w:rPr>
          <w:rFonts w:hint="eastAsia" w:ascii="仿宋_GB2312" w:hAnsi="仿宋" w:eastAsia="仿宋_GB2312" w:cs="Arial"/>
          <w:color w:val="000000"/>
          <w:kern w:val="0"/>
          <w:sz w:val="32"/>
          <w:szCs w:val="32"/>
          <w:lang w:val="en-US" w:eastAsia="zh-CN" w:bidi="ar-SA"/>
        </w:rPr>
        <w:t>利用“三资平台”客户信息，开展新增客户扩面、存量客户提额攻坚战</w:t>
      </w:r>
      <w:r>
        <w:rPr>
          <w:rFonts w:hint="eastAsia" w:ascii="仿宋_GB2312" w:eastAsia="仿宋_GB2312"/>
          <w:sz w:val="32"/>
          <w:szCs w:val="32"/>
          <w:lang w:val="en-US" w:eastAsia="zh-CN"/>
        </w:rPr>
        <w:t>。</w:t>
      </w:r>
      <w:r>
        <w:rPr>
          <w:rFonts w:hint="eastAsia" w:ascii="仿宋_GB2312" w:hAnsi="Times New Roman" w:eastAsia="仿宋_GB2312" w:cs="Times New Roman"/>
          <w:sz w:val="32"/>
          <w:szCs w:val="32"/>
          <w:highlight w:val="none"/>
          <w:lang w:val="en-US" w:eastAsia="zh-CN"/>
        </w:rPr>
        <w:t>全年新增授信客户828户，授信金额1.08亿元，新增用信金额5072万元</w:t>
      </w:r>
      <w:r>
        <w:rPr>
          <w:rFonts w:hint="eastAsia" w:ascii="仿宋_GB2312" w:eastAsia="仿宋_GB2312"/>
          <w:sz w:val="32"/>
          <w:szCs w:val="32"/>
          <w:lang w:val="en-US" w:eastAsia="zh-CN"/>
        </w:rPr>
        <w:t>。</w:t>
      </w:r>
      <w:r>
        <w:rPr>
          <w:rFonts w:hint="eastAsia" w:ascii="仿宋_GB2312" w:hAnsi="仿宋_GB2312" w:eastAsia="仿宋_GB2312" w:cs="仿宋_GB2312"/>
          <w:b/>
          <w:bCs/>
          <w:color w:val="auto"/>
          <w:sz w:val="32"/>
          <w:szCs w:val="32"/>
          <w:lang w:val="en-US" w:eastAsia="zh-CN"/>
        </w:rPr>
        <w:t>四是外拓营销“引”客户。</w:t>
      </w:r>
      <w:r>
        <w:rPr>
          <w:rFonts w:hint="eastAsia" w:ascii="仿宋_GB2312" w:hAnsi="仿宋_GB2312" w:eastAsia="仿宋_GB2312" w:cs="仿宋_GB2312"/>
          <w:color w:val="auto"/>
          <w:sz w:val="32"/>
          <w:szCs w:val="32"/>
          <w:lang w:val="en-US" w:eastAsia="zh-CN"/>
        </w:rPr>
        <w:t>利用电话微信、组织开展小型对接会，对外出已返乡人员进行综合营销，</w:t>
      </w:r>
      <w:r>
        <w:rPr>
          <w:rFonts w:hint="eastAsia" w:ascii="仿宋_GB2312" w:hAnsi="仿宋_GB2312" w:eastAsia="仿宋_GB2312" w:cs="仿宋_GB2312"/>
          <w:color w:val="auto"/>
          <w:sz w:val="32"/>
          <w:szCs w:val="32"/>
          <w:highlight w:val="none"/>
          <w:lang w:val="en-US" w:eastAsia="zh-CN"/>
        </w:rPr>
        <w:t>2022年开展小型对接会70余场，共对接外出务工返乡人员1240余人。</w:t>
      </w:r>
      <w:r>
        <w:rPr>
          <w:rFonts w:hint="eastAsia" w:ascii="仿宋_GB2312" w:hAnsi="仿宋_GB2312" w:eastAsia="仿宋_GB2312" w:cs="仿宋_GB2312"/>
          <w:color w:val="auto"/>
          <w:sz w:val="32"/>
          <w:szCs w:val="32"/>
          <w:lang w:val="en-US" w:eastAsia="zh-CN"/>
        </w:rPr>
        <w:t>组织外拓小分队赴外省进行外拓营销，上门收集资料、实地开展调查、现场进行授信，</w:t>
      </w:r>
      <w:r>
        <w:rPr>
          <w:rFonts w:hint="eastAsia" w:ascii="仿宋_GB2312" w:hAnsi="仿宋_GB2312" w:eastAsia="仿宋_GB2312" w:cs="仿宋_GB2312"/>
          <w:color w:val="auto"/>
          <w:sz w:val="32"/>
          <w:szCs w:val="32"/>
          <w:highlight w:val="none"/>
          <w:lang w:val="en-US" w:eastAsia="zh-CN"/>
        </w:rPr>
        <w:t>2022年共对38户客户，授信2600万元。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contextualSpacing/>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二、紧扣金融天职  强化实体经济支撑</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（一）打造乡村振兴主办银行。</w:t>
      </w:r>
      <w:r>
        <w:rPr>
          <w:rFonts w:hint="eastAsia" w:ascii="仿宋_GB2312" w:hAnsi="仿宋_GB2312" w:eastAsia="仿宋_GB2312" w:cs="仿宋_GB2312"/>
          <w:color w:val="auto"/>
          <w:sz w:val="32"/>
          <w:szCs w:val="32"/>
          <w:highlight w:val="none"/>
          <w:lang w:val="en-US" w:eastAsia="zh-CN"/>
        </w:rPr>
        <w:t>铜鼓农商银行充分发挥服务县域金融主力军作用，创新“黄精贷”信贷产品，精准浇灌当地特色产业发展，通过“黄精贷”发放贷款750万元；持续巩固脱贫攻坚成果，全面助力乡村振兴，2022年累计投放乡村振兴类贷款3.1亿元，脱贫贷款余额达到4796.34万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（二）打造小微首选暖心银行。</w:t>
      </w:r>
      <w:r>
        <w:rPr>
          <w:rFonts w:hint="eastAsia" w:ascii="仿宋_GB2312" w:eastAsia="仿宋_GB2312"/>
          <w:sz w:val="32"/>
          <w:szCs w:val="32"/>
          <w:lang w:eastAsia="zh-CN"/>
        </w:rPr>
        <w:t>铜鼓农商银行全面落实普惠小微政策，解决小微企业“融资难、融资贵”的问题，以打造创业备用金的授信理念，及时开展营销对接授信，</w:t>
      </w:r>
      <w:r>
        <w:rPr>
          <w:rFonts w:hint="eastAsia" w:ascii="仿宋_GB2312" w:eastAsia="仿宋_GB2312"/>
          <w:sz w:val="32"/>
          <w:szCs w:val="32"/>
          <w:lang w:val="en-US" w:eastAsia="zh-CN"/>
        </w:rPr>
        <w:t>2022年</w:t>
      </w:r>
      <w:r>
        <w:rPr>
          <w:rFonts w:hint="eastAsia" w:ascii="仿宋_GB2312" w:eastAsia="仿宋_GB2312"/>
          <w:sz w:val="32"/>
          <w:szCs w:val="32"/>
          <w:lang w:eastAsia="zh-CN"/>
        </w:rPr>
        <w:t>对3864户个体工商户和188户小微企业主开展授信，授信额度为</w:t>
      </w:r>
      <w:r>
        <w:rPr>
          <w:rFonts w:hint="eastAsia" w:ascii="仿宋_GB2312" w:eastAsia="仿宋_GB2312"/>
          <w:sz w:val="32"/>
          <w:szCs w:val="32"/>
          <w:lang w:val="en-US" w:eastAsia="zh-CN"/>
        </w:rPr>
        <w:t>1.09亿</w:t>
      </w:r>
      <w:r>
        <w:rPr>
          <w:rFonts w:hint="eastAsia" w:ascii="仿宋_GB2312" w:eastAsia="仿宋_GB2312"/>
          <w:sz w:val="32"/>
          <w:szCs w:val="32"/>
          <w:lang w:eastAsia="zh-CN"/>
        </w:rPr>
        <w:t>元。</w:t>
      </w:r>
      <w:r>
        <w:rPr>
          <w:rFonts w:hint="eastAsia" w:ascii="仿宋_GB2312" w:eastAsia="仿宋_GB2312"/>
          <w:sz w:val="32"/>
          <w:szCs w:val="32"/>
        </w:rPr>
        <w:t>积极开展创业贷款和创业信用村建设，今年以来对西向村、八亩村、梁段村、九峰村、幽居村等五个创业信用村开展创业贷款授信对接，</w:t>
      </w:r>
      <w:r>
        <w:rPr>
          <w:rFonts w:hint="eastAsia" w:ascii="仿宋_GB2312" w:eastAsia="仿宋_GB2312"/>
          <w:sz w:val="32"/>
          <w:szCs w:val="32"/>
          <w:lang w:eastAsia="zh-CN"/>
        </w:rPr>
        <w:t>今年</w:t>
      </w:r>
      <w:r>
        <w:rPr>
          <w:rFonts w:hint="eastAsia" w:ascii="仿宋_GB2312" w:eastAsia="仿宋_GB2312"/>
          <w:sz w:val="32"/>
          <w:szCs w:val="32"/>
        </w:rPr>
        <w:t>累计发放创业贷款发放1530万元。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b/>
          <w:bCs/>
          <w:kern w:val="2"/>
          <w:sz w:val="32"/>
          <w:szCs w:val="32"/>
          <w:lang w:val="en-US" w:eastAsia="zh-CN" w:bidi="ar-SA"/>
        </w:rPr>
        <w:t>（三）打造市民信任知心银行。</w:t>
      </w:r>
      <w:r>
        <w:rPr>
          <w:rFonts w:hint="eastAsia" w:ascii="仿宋_GB2312" w:eastAsia="仿宋_GB2312"/>
          <w:sz w:val="32"/>
          <w:szCs w:val="32"/>
          <w:lang w:eastAsia="zh-CN"/>
        </w:rPr>
        <w:t>铜鼓农商银行始终以开放的心态和真诚的服务，为在铜鼓打拼的“新市民”提供优质、高效的金融助力，陆续推出“城商贷”、“建易贷”等特色信贷产品，不断为“新市民”创收创业注入金融活水。</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contextualSpacing/>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三、厚植百姓情怀，擦亮金融服务口碑</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（一）发挥“百千万”优势。</w:t>
      </w:r>
      <w:r>
        <w:rPr>
          <w:rFonts w:hint="eastAsia" w:ascii="仿宋_GB2312" w:eastAsia="仿宋_GB2312"/>
          <w:sz w:val="32"/>
          <w:szCs w:val="32"/>
          <w:lang w:eastAsia="zh-CN"/>
        </w:rPr>
        <w:t>铜鼓农商银行</w:t>
      </w:r>
      <w:r>
        <w:rPr>
          <w:rFonts w:hint="eastAsia" w:ascii="仿宋_GB2312" w:eastAsia="仿宋_GB2312"/>
          <w:sz w:val="32"/>
          <w:szCs w:val="32"/>
        </w:rPr>
        <w:t>将党建工作与业务工作相融合，以支部联建共建为依托，打造“党建引领乡村振兴，农商银行助农先行”特色党建品牌。制定党建联建共建三年规划，将联建共建工作纳入支部党建工作综合考评中，持续与全县各领域党组织开展联建共建。以“联建促合作，共建促发展”的要求，开展好党建+普惠金融进社区、党建+流动金融服务站、党建+整村授信等系列活动，拓宽共建范围，增减合作深度，发挥党支部战斗堡垒作用，以促进我行各项业务高质量发展。通过联建共建将获取更多客户资源，新增贷款授信客户1</w:t>
      </w:r>
      <w:r>
        <w:rPr>
          <w:rFonts w:hint="eastAsia" w:ascii="仿宋_GB2312" w:eastAsia="仿宋_GB2312"/>
          <w:sz w:val="32"/>
          <w:szCs w:val="32"/>
          <w:lang w:val="en-US" w:eastAsia="zh-CN"/>
        </w:rPr>
        <w:t>6</w:t>
      </w:r>
      <w:r>
        <w:rPr>
          <w:rFonts w:hint="eastAsia" w:ascii="仿宋_GB2312" w:eastAsia="仿宋_GB2312"/>
          <w:sz w:val="32"/>
          <w:szCs w:val="32"/>
        </w:rPr>
        <w:t>00户，新增贷款2亿元，营销存款1.6亿元。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（二）塑造“小而美”特色。</w:t>
      </w:r>
      <w:r>
        <w:rPr>
          <w:rFonts w:hint="eastAsia" w:ascii="仿宋_GB2312" w:hAnsi="仿宋" w:eastAsia="仿宋_GB2312" w:cs="Times New Roman"/>
          <w:sz w:val="32"/>
          <w:szCs w:val="32"/>
          <w:lang w:val="en-US" w:eastAsia="zh-CN"/>
        </w:rPr>
        <w:t>铜鼓农商银行持续开展“整村授信”、网格化营销和园区企业对接，不断扩大客户覆盖面，切实加大信贷投放力度；对辖内行政村全面启动“诚信村”创建工作，要求每个客户经理至少创建一个诚信村，推动信贷客户扩面，提升信贷客户质量。</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eastAsia="仿宋_GB2312"/>
          <w:bCs/>
          <w:color w:val="auto"/>
          <w:sz w:val="32"/>
          <w:szCs w:val="32"/>
          <w:lang w:eastAsia="zh-CN"/>
        </w:rPr>
      </w:pPr>
      <w:r>
        <w:rPr>
          <w:rFonts w:hint="eastAsia" w:ascii="楷体_GB2312" w:hAnsi="楷体_GB2312" w:eastAsia="楷体_GB2312" w:cs="楷体_GB2312"/>
          <w:b/>
          <w:bCs/>
          <w:kern w:val="2"/>
          <w:sz w:val="32"/>
          <w:szCs w:val="32"/>
          <w:lang w:val="en-US" w:eastAsia="zh-CN" w:bidi="ar-SA"/>
        </w:rPr>
        <w:t>（三）提供“普且惠”服务。</w:t>
      </w:r>
      <w:r>
        <w:rPr>
          <w:rFonts w:hint="eastAsia" w:ascii="仿宋_GB2312" w:eastAsia="仿宋_GB2312"/>
          <w:bCs/>
          <w:color w:val="auto"/>
          <w:sz w:val="32"/>
          <w:szCs w:val="32"/>
          <w:lang w:eastAsia="zh-CN"/>
        </w:rPr>
        <w:t>铜鼓农商银行全力做好第二代社保卡存量激活和第三代社保卡营销工作，与财政局、人社局达成资金代发协议，确保存量卡不流失。</w:t>
      </w:r>
      <w:r>
        <w:rPr>
          <w:rFonts w:hint="eastAsia" w:ascii="仿宋_GB2312" w:eastAsia="仿宋_GB2312"/>
          <w:bCs/>
          <w:color w:val="auto"/>
          <w:sz w:val="32"/>
          <w:szCs w:val="32"/>
          <w:lang w:val="en-US" w:eastAsia="zh-CN"/>
        </w:rPr>
        <w:t>2022年</w:t>
      </w:r>
      <w:r>
        <w:rPr>
          <w:rFonts w:hint="eastAsia" w:ascii="仿宋_GB2312" w:eastAsia="仿宋_GB2312"/>
          <w:bCs/>
          <w:color w:val="auto"/>
          <w:sz w:val="32"/>
          <w:szCs w:val="32"/>
          <w:lang w:eastAsia="zh-CN"/>
        </w:rPr>
        <w:t>社保卡激活率较年初增长3.</w:t>
      </w:r>
      <w:r>
        <w:rPr>
          <w:rFonts w:hint="eastAsia" w:ascii="仿宋_GB2312" w:eastAsia="仿宋_GB2312"/>
          <w:bCs/>
          <w:color w:val="auto"/>
          <w:sz w:val="32"/>
          <w:szCs w:val="32"/>
          <w:lang w:val="en-US" w:eastAsia="zh-CN"/>
        </w:rPr>
        <w:t>12</w:t>
      </w:r>
      <w:r>
        <w:rPr>
          <w:rFonts w:hint="eastAsia" w:ascii="仿宋_GB2312" w:eastAsia="仿宋_GB2312"/>
          <w:bCs/>
          <w:color w:val="auto"/>
          <w:sz w:val="32"/>
          <w:szCs w:val="32"/>
          <w:lang w:eastAsia="zh-CN"/>
        </w:rPr>
        <w:t>个百分点；社保卡存款余额</w:t>
      </w:r>
      <w:r>
        <w:rPr>
          <w:rFonts w:hint="eastAsia" w:ascii="仿宋_GB2312" w:eastAsia="仿宋_GB2312"/>
          <w:bCs/>
          <w:color w:val="auto"/>
          <w:sz w:val="32"/>
          <w:szCs w:val="32"/>
          <w:lang w:val="en-US" w:eastAsia="zh-CN"/>
        </w:rPr>
        <w:t>10144</w:t>
      </w:r>
      <w:r>
        <w:rPr>
          <w:rFonts w:hint="eastAsia" w:ascii="仿宋_GB2312" w:eastAsia="仿宋_GB2312"/>
          <w:bCs/>
          <w:color w:val="auto"/>
          <w:sz w:val="32"/>
          <w:szCs w:val="32"/>
          <w:lang w:eastAsia="zh-CN"/>
        </w:rPr>
        <w:t>万元，卡均余额</w:t>
      </w:r>
      <w:r>
        <w:rPr>
          <w:rFonts w:hint="eastAsia" w:ascii="仿宋_GB2312" w:eastAsia="仿宋_GB2312"/>
          <w:bCs/>
          <w:color w:val="auto"/>
          <w:sz w:val="32"/>
          <w:szCs w:val="32"/>
          <w:lang w:val="en-US" w:eastAsia="zh-CN"/>
        </w:rPr>
        <w:t>1248</w:t>
      </w:r>
      <w:r>
        <w:rPr>
          <w:rFonts w:hint="eastAsia" w:ascii="仿宋_GB2312" w:eastAsia="仿宋_GB2312"/>
          <w:bCs/>
          <w:color w:val="auto"/>
          <w:sz w:val="32"/>
          <w:szCs w:val="32"/>
          <w:lang w:eastAsia="zh-CN"/>
        </w:rPr>
        <w:t>元。</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contextualSpacing/>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四、担当社会责任，增厚改革发展成色</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仿宋"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（一）维护客户权益“有温度”。</w:t>
      </w:r>
      <w:r>
        <w:rPr>
          <w:rFonts w:hint="eastAsia" w:ascii="仿宋_GB2312" w:hAnsi="仿宋" w:eastAsia="仿宋_GB2312" w:cs="仿宋_GB2312"/>
          <w:kern w:val="2"/>
          <w:sz w:val="32"/>
          <w:szCs w:val="32"/>
          <w:lang w:val="en-US" w:eastAsia="zh-CN" w:bidi="ar-SA"/>
        </w:rPr>
        <w:t>铜鼓农商银行始终践行普惠金融，不忘初心使命，以基层网点为主阵地，充分发挥人缘、地缘优势，举办各类普惠金融活动，2022年举办金融夜校、金融讲坛、金融知识进社区等活动160余场，为村民普及个人信用、防范电信诈骗、防范非法集资、发假币及反洗钱等金融知识，送知识上门、送政策上门、送服务上门，得到了村民们的纷纷点赞。</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DFKai-SB" w:eastAsia="仿宋_GB2312" w:cs="Times New Roman"/>
          <w:color w:val="auto"/>
          <w:kern w:val="2"/>
          <w:sz w:val="32"/>
          <w:szCs w:val="32"/>
          <w:lang w:val="en-US" w:eastAsia="zh-CN" w:bidi="ar"/>
        </w:rPr>
      </w:pPr>
      <w:r>
        <w:rPr>
          <w:rFonts w:hint="eastAsia" w:ascii="楷体_GB2312" w:hAnsi="楷体_GB2312" w:eastAsia="楷体_GB2312" w:cs="楷体_GB2312"/>
          <w:b/>
          <w:bCs/>
          <w:kern w:val="2"/>
          <w:sz w:val="32"/>
          <w:szCs w:val="32"/>
          <w:lang w:val="en-US" w:eastAsia="zh-CN" w:bidi="ar-SA"/>
        </w:rPr>
        <w:t>（二）激发干事创业“新活力”。</w:t>
      </w:r>
      <w:r>
        <w:rPr>
          <w:rFonts w:hint="eastAsia" w:ascii="仿宋_GB2312" w:hAnsi="仿宋" w:eastAsia="仿宋_GB2312" w:cs="仿宋_GB2312"/>
          <w:kern w:val="2"/>
          <w:sz w:val="32"/>
          <w:szCs w:val="32"/>
          <w:lang w:val="en-US" w:eastAsia="zh-CN" w:bidi="ar-SA"/>
        </w:rPr>
        <w:t>铜鼓农商银行持续优</w:t>
      </w:r>
      <w:r>
        <w:rPr>
          <w:rFonts w:hint="eastAsia" w:ascii="仿宋_GB2312" w:hAnsi="DFKai-SB" w:eastAsia="仿宋_GB2312" w:cs="Times New Roman"/>
          <w:color w:val="auto"/>
          <w:kern w:val="2"/>
          <w:sz w:val="32"/>
          <w:szCs w:val="32"/>
          <w:lang w:val="en-US" w:eastAsia="zh-CN" w:bidi="ar"/>
        </w:rPr>
        <w:t>化岗位履职评价，制定“后备人才梯队建设考核办法”、“业绩赛马 亮剑比拼”竞赛活动方案，对网点负责人、副股级干部、客户经理、后备人才按月进行考核排名，设立红旗榜、落后榜，实行约谈、降低考核系数、末位淘汰等奖惩措施，畅通“能上能下”通道，激励担当作为。开展“党建+业务技能比赛”，提高员工综合业务水平；举办“党建+合规知识竞赛”，激发党员争先创优精神。</w:t>
      </w:r>
    </w:p>
    <w:p>
      <w:pPr>
        <w:keepNext w:val="0"/>
        <w:keepLines w:val="0"/>
        <w:pageBreakBefore w:val="0"/>
        <w:widowControl w:val="0"/>
        <w:numPr>
          <w:ilvl w:val="0"/>
          <w:numId w:val="0"/>
        </w:numPr>
        <w:pBdr>
          <w:bottom w:val="single" w:color="FFFFFF" w:sz="4" w:space="14"/>
        </w:pBdr>
        <w:tabs>
          <w:tab w:val="left" w:pos="1440"/>
        </w:tabs>
        <w:kinsoku/>
        <w:wordWrap/>
        <w:overflowPunct/>
        <w:topLinePunct w:val="0"/>
        <w:autoSpaceDE w:val="0"/>
        <w:autoSpaceDN w:val="0"/>
        <w:bidi w:val="0"/>
        <w:adjustRightInd w:val="0"/>
        <w:snapToGrid w:val="0"/>
        <w:spacing w:line="560" w:lineRule="exact"/>
        <w:ind w:left="0" w:leftChars="0" w:right="0" w:rightChars="0" w:firstLine="643" w:firstLineChars="200"/>
        <w:contextualSpacing/>
        <w:jc w:val="both"/>
        <w:textAlignment w:val="auto"/>
        <w:outlineLvl w:val="9"/>
        <w:rPr>
          <w:rFonts w:hint="eastAsia" w:ascii="仿宋_GB2312" w:hAnsi="DFKai-SB" w:eastAsia="仿宋_GB2312" w:cs="Times New Roman"/>
          <w:color w:val="auto"/>
          <w:kern w:val="2"/>
          <w:sz w:val="32"/>
          <w:szCs w:val="32"/>
          <w:lang w:val="en-US" w:eastAsia="zh-CN" w:bidi="ar"/>
        </w:rPr>
      </w:pPr>
      <w:r>
        <w:rPr>
          <w:rFonts w:hint="eastAsia" w:ascii="楷体_GB2312" w:hAnsi="楷体_GB2312" w:eastAsia="楷体_GB2312" w:cs="楷体_GB2312"/>
          <w:b/>
          <w:bCs/>
          <w:kern w:val="2"/>
          <w:sz w:val="32"/>
          <w:szCs w:val="32"/>
          <w:lang w:val="en-US" w:eastAsia="zh-CN" w:bidi="ar-SA"/>
        </w:rPr>
        <w:t>（三）传递公益慈善“正能量”。</w:t>
      </w:r>
      <w:r>
        <w:rPr>
          <w:rFonts w:hint="eastAsia" w:ascii="仿宋_GB2312" w:hAnsi="DFKai-SB" w:eastAsia="仿宋_GB2312" w:cs="Times New Roman"/>
          <w:color w:val="auto"/>
          <w:kern w:val="2"/>
          <w:sz w:val="32"/>
          <w:szCs w:val="32"/>
          <w:lang w:val="en-US" w:eastAsia="zh-CN" w:bidi="ar"/>
        </w:rPr>
        <w:t>铜鼓农商银行始终不忘践行企业社会责任，积极倡导爱心公益，用实际行动回报社会。2022年，通过开展“慈善一日捐”、为江西省困境女童筹集助学金等活动捐款5万元；连续5年为乡村小学儿童捐助学习用品；多次参与铜鼓县创城志愿活动，树立了良好的社会形象。</w:t>
      </w:r>
    </w:p>
    <w:p>
      <w:pPr>
        <w:rPr>
          <w:rFonts w:hint="eastAsia" w:ascii="仿宋_GB2312"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jVlYjVjNTIxNjZiODNhMGFiZTA2YWJlYzAwNjIifQ=="/>
  </w:docVars>
  <w:rsids>
    <w:rsidRoot w:val="7EA5423C"/>
    <w:rsid w:val="07A11B3B"/>
    <w:rsid w:val="6D5572DE"/>
    <w:rsid w:val="6D79228E"/>
    <w:rsid w:val="77452660"/>
    <w:rsid w:val="7EA5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5</Pages>
  <Words>2502</Words>
  <Characters>2649</Characters>
  <Lines>0</Lines>
  <Paragraphs>0</Paragraphs>
  <TotalTime>5</TotalTime>
  <ScaleCrop>false</ScaleCrop>
  <LinksUpToDate>false</LinksUpToDate>
  <CharactersWithSpaces>2658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2023-02-15T14:39:00Z</dcterms:created>
  <dc:creator>Administrator</dc:creator>
  <cp:lastModifiedBy>Administrator</cp:lastModifiedBy>
  <dcterms:modified xsi:type="dcterms:W3CDTF">2024-01-24T03:24:33Z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3DB6215A8C864FDB882ADB3617081F94_12</vt:lpwstr>
  </property>
</Properties>
</file>