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铜鼓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农商银行202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季度资本管理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信息披露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行根据银保监会《商业银行资本管理办法（试行》及相关规定进行资本充足率的计算，计算口径为法人口径。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季度，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行资本构成及数量、风险加权资产的构成及各级资本充足率计算列示如下：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一、资本构成及数量 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shd w:val="clear" w:fill="FFFFFF"/>
          <w:lang w:val="en-US" w:eastAsia="zh-CN" w:bidi="ar"/>
        </w:rPr>
        <w:t>单位：万元人民币</w:t>
      </w:r>
    </w:p>
    <w:tbl>
      <w:tblPr>
        <w:tblStyle w:val="5"/>
        <w:tblW w:w="707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7"/>
        <w:gridCol w:w="2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1.核心一级资本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1.1 实收资本可计入部分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11660.83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1.2 资本公积可计入部分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1.3盈余公积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1.4一般风险准备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5315.43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1.5未分配利润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3014.78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1.6少数股东资本可计入部分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1.7其他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核心一级资本监管扣除项目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2.1其中：其他无形资产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3.二级资本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2386.13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3.1其中：超额贷款损失准备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2386.13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4.核心一级资本净额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21867.58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5.总资本净额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24253.71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二、风险加权资产的构成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shd w:val="clear" w:fill="FFFFFF"/>
          <w:lang w:val="en-US" w:eastAsia="zh-CN" w:bidi="ar"/>
        </w:rPr>
        <w:t>单位：万元人民币</w:t>
      </w:r>
    </w:p>
    <w:tbl>
      <w:tblPr>
        <w:tblStyle w:val="5"/>
        <w:tblW w:w="70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3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1.信用风险加权资产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193276.34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1.1表内风险加权资产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193072.74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1.2表外风险加权资产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2.市场风险加权资产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3..操作风险加权资产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4.风险加权资产合计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212914.34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资本指标</w:t>
      </w:r>
    </w:p>
    <w:tbl>
      <w:tblPr>
        <w:tblStyle w:val="5"/>
        <w:tblW w:w="7040" w:type="dxa"/>
        <w:tblInd w:w="68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3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1.核心一级资本充足率求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2.一级资本充足率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3.资本充足率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月末，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行资本充足率相关指标均符合监管要求，特此公示。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5440" w:firstLineChars="17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铜鼓农商银行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 w:firstLine="5440" w:firstLineChars="17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VlYjVjNTIxNjZiODNhMGFiZTA2YWJlYzAwNjIifQ=="/>
  </w:docVars>
  <w:rsids>
    <w:rsidRoot w:val="00000000"/>
    <w:rsid w:val="01DD1BE7"/>
    <w:rsid w:val="02FF77A0"/>
    <w:rsid w:val="05017D31"/>
    <w:rsid w:val="05AD27E1"/>
    <w:rsid w:val="06E073C7"/>
    <w:rsid w:val="070674AD"/>
    <w:rsid w:val="074A7CD8"/>
    <w:rsid w:val="07AD7979"/>
    <w:rsid w:val="07E41B3E"/>
    <w:rsid w:val="0A3F3BA4"/>
    <w:rsid w:val="0A6A5BE3"/>
    <w:rsid w:val="0AE32610"/>
    <w:rsid w:val="11360BA4"/>
    <w:rsid w:val="12950D97"/>
    <w:rsid w:val="15392A4E"/>
    <w:rsid w:val="167E72E8"/>
    <w:rsid w:val="1C4331A5"/>
    <w:rsid w:val="1C71098C"/>
    <w:rsid w:val="26095671"/>
    <w:rsid w:val="28A507E6"/>
    <w:rsid w:val="2B894753"/>
    <w:rsid w:val="2C1A4B27"/>
    <w:rsid w:val="2C2B39E9"/>
    <w:rsid w:val="302B13A2"/>
    <w:rsid w:val="30C46AD2"/>
    <w:rsid w:val="32000D89"/>
    <w:rsid w:val="325D3FD5"/>
    <w:rsid w:val="33FF5D31"/>
    <w:rsid w:val="353277E8"/>
    <w:rsid w:val="354A5B98"/>
    <w:rsid w:val="3EC34CDB"/>
    <w:rsid w:val="415E50F1"/>
    <w:rsid w:val="420B37E3"/>
    <w:rsid w:val="44F22E89"/>
    <w:rsid w:val="452544F5"/>
    <w:rsid w:val="45476259"/>
    <w:rsid w:val="517D11AD"/>
    <w:rsid w:val="55322D1B"/>
    <w:rsid w:val="591B3AAA"/>
    <w:rsid w:val="60034E11"/>
    <w:rsid w:val="616C1CA6"/>
    <w:rsid w:val="64426583"/>
    <w:rsid w:val="7A211C48"/>
    <w:rsid w:val="7D2450E2"/>
    <w:rsid w:val="7FD3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n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" w:lineRule="atLeast"/>
      <w:jc w:val="left"/>
    </w:pPr>
    <w:rPr>
      <w:kern w:val="0"/>
      <w:sz w:val="4"/>
      <w:szCs w:val="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598</Characters>
  <Lines>0</Lines>
  <Paragraphs>0</Paragraphs>
  <TotalTime>3</TotalTime>
  <ScaleCrop>false</ScaleCrop>
  <LinksUpToDate>false</LinksUpToDate>
  <CharactersWithSpaces>706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2022-10-28T09:00:00Z</dcterms:created>
  <dc:creator>Administrator</dc:creator>
  <cp:lastModifiedBy>Administrator</cp:lastModifiedBy>
  <cp:lastPrinted>2022-10-31T01:06:00Z</cp:lastPrinted>
  <dcterms:modified xsi:type="dcterms:W3CDTF">2023-10-11T01:31:48Z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3DFFB3B9B1664C04AB141C2E1C4824E5</vt:lpwstr>
  </property>
</Properties>
</file>