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jc w:val="center"/>
        <w:textAlignment w:val="auto"/>
        <w:rPr>
          <w:rFonts w:ascii="黑体" w:hAnsi="宋体" w:eastAsia="黑体" w:cs="黑体"/>
          <w:sz w:val="33"/>
          <w:szCs w:val="33"/>
        </w:rPr>
      </w:pPr>
      <w:r>
        <w:rPr>
          <w:rFonts w:hint="eastAsia" w:ascii="黑体" w:hAnsi="宋体" w:eastAsia="黑体" w:cs="黑体"/>
          <w:sz w:val="33"/>
          <w:szCs w:val="33"/>
          <w:lang w:eastAsia="zh-CN"/>
        </w:rPr>
        <w:t>铜鼓</w:t>
      </w:r>
      <w:r>
        <w:rPr>
          <w:rFonts w:ascii="黑体" w:hAnsi="宋体" w:eastAsia="黑体" w:cs="黑体"/>
          <w:sz w:val="33"/>
          <w:szCs w:val="33"/>
        </w:rPr>
        <w:t>农商银行2023年</w:t>
      </w:r>
      <w:r>
        <w:rPr>
          <w:rFonts w:hint="eastAsia" w:ascii="黑体" w:hAnsi="宋体" w:eastAsia="黑体" w:cs="黑体"/>
          <w:sz w:val="33"/>
          <w:szCs w:val="33"/>
          <w:lang w:eastAsia="zh-CN"/>
        </w:rPr>
        <w:t>一</w:t>
      </w:r>
      <w:r>
        <w:rPr>
          <w:rFonts w:ascii="黑体" w:hAnsi="宋体" w:eastAsia="黑体" w:cs="黑体"/>
          <w:sz w:val="33"/>
          <w:szCs w:val="33"/>
        </w:rPr>
        <w:t>季度关联交易事项公告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jc w:val="center"/>
        <w:textAlignment w:val="auto"/>
        <w:rPr>
          <w:rFonts w:ascii="黑体" w:hAnsi="宋体" w:eastAsia="黑体" w:cs="黑体"/>
          <w:sz w:val="33"/>
          <w:szCs w:val="33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auto"/>
      </w:pPr>
      <w:r>
        <w:rPr>
          <w:rFonts w:ascii="仿宋_GB2312" w:hAnsi="仿宋_GB2312" w:eastAsia="仿宋_GB2312" w:cs="仿宋_GB2312"/>
          <w:sz w:val="32"/>
          <w:szCs w:val="32"/>
        </w:rPr>
        <w:t>根据《银行保险机构关联交易管理办法》（中国银保监会令〔2022〕1号）有关规定，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铜鼓</w:t>
      </w:r>
      <w:r>
        <w:rPr>
          <w:rFonts w:ascii="仿宋_GB2312" w:hAnsi="仿宋_GB2312" w:eastAsia="仿宋_GB2312" w:cs="仿宋_GB2312"/>
          <w:sz w:val="32"/>
          <w:szCs w:val="32"/>
        </w:rPr>
        <w:t>农村商业银行股份有限公司（以下简称“本行”）对本行2023年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季度关联交易情况信息披露如下：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auto"/>
      </w:pPr>
      <w:r>
        <w:rPr>
          <w:rFonts w:ascii="黑体" w:hAnsi="宋体" w:eastAsia="黑体" w:cs="黑体"/>
          <w:sz w:val="32"/>
          <w:szCs w:val="32"/>
        </w:rPr>
        <w:t>一、范围界定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   本行关联方范围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与重大关联交易均是按照《银行保险机构关联交易管理办法》的相关规定进行确认。本行所指的一般关联交易是指除重大关联交易以外的其他关联交易。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月末，</w:t>
      </w:r>
      <w:r>
        <w:rPr>
          <w:rFonts w:hint="eastAsia" w:ascii="仿宋_GB2312" w:eastAsia="仿宋_GB2312"/>
          <w:sz w:val="32"/>
          <w:szCs w:val="32"/>
          <w:lang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行发生关联交易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户，笔数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</w:t>
      </w:r>
      <w:r>
        <w:rPr>
          <w:rFonts w:hint="eastAsia" w:ascii="仿宋_GB2312" w:eastAsia="仿宋_GB2312"/>
          <w:sz w:val="32"/>
          <w:szCs w:val="32"/>
        </w:rPr>
        <w:t>笔，授信金额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2635.41</w:t>
      </w:r>
      <w:r>
        <w:rPr>
          <w:rFonts w:hint="eastAsia" w:ascii="仿宋_GB2312" w:eastAsia="仿宋_GB2312"/>
          <w:sz w:val="32"/>
          <w:szCs w:val="32"/>
        </w:rPr>
        <w:t>万元，其中企业客户1户，笔数1笔，江西金仁实业有限公司；个人客户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</w:t>
      </w:r>
      <w:r>
        <w:rPr>
          <w:rFonts w:hint="eastAsia" w:ascii="仿宋_GB2312" w:eastAsia="仿宋_GB2312"/>
          <w:sz w:val="32"/>
          <w:szCs w:val="32"/>
        </w:rPr>
        <w:t>户，笔数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</w:t>
      </w:r>
      <w:r>
        <w:rPr>
          <w:rFonts w:hint="eastAsia" w:ascii="仿宋_GB2312" w:eastAsia="仿宋_GB2312"/>
          <w:sz w:val="32"/>
          <w:szCs w:val="32"/>
        </w:rPr>
        <w:t>笔。贷款余额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4024.8</w:t>
      </w:r>
      <w:r>
        <w:rPr>
          <w:rFonts w:hint="eastAsia" w:ascii="仿宋_GB2312" w:eastAsia="仿宋_GB2312"/>
          <w:sz w:val="32"/>
          <w:szCs w:val="32"/>
        </w:rPr>
        <w:t>万元，其中对公客户1户，个人客户3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本季度发生一般关联交易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笔，</w:t>
      </w:r>
      <w:r>
        <w:rPr>
          <w:rFonts w:hint="eastAsia" w:ascii="仿宋_GB2312" w:eastAsia="仿宋_GB2312"/>
          <w:sz w:val="32"/>
          <w:szCs w:val="32"/>
          <w:lang w:eastAsia="zh-CN"/>
        </w:rPr>
        <w:t>授信交易金额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241.1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本季度发生未发生重大关联交易。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三、</w:t>
      </w:r>
      <w:r>
        <w:rPr>
          <w:rFonts w:hint="eastAsia" w:ascii="黑体" w:hAnsi="宋体" w:eastAsia="黑体" w:cs="黑体"/>
          <w:sz w:val="32"/>
          <w:szCs w:val="32"/>
        </w:rPr>
        <w:t>其他情况说明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铜鼓农商银行关联交易控制委员会正常履行了委员会职责，定期召开关联交易审议会议，对季度关联交易情况进行审议。</w:t>
      </w:r>
      <w:r>
        <w:rPr>
          <w:rFonts w:hint="eastAsia" w:ascii="仿宋_GB2312" w:eastAsia="仿宋_GB2312"/>
          <w:sz w:val="32"/>
          <w:szCs w:val="32"/>
          <w:lang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行授信类关联交易主要涉及贷款的表内授信业务，授信类关联交易对本行的正常经营不会产生重大影响。关联交易定价客观、公正，全部关联交易价格均按照我行的定价机制执行，以不优于一般客户同类交易的条件进行。</w:t>
      </w:r>
    </w:p>
    <w:p>
      <w:pPr>
        <w:keepNext w:val="0"/>
        <w:keepLines w:val="0"/>
        <w:pageBreakBefore w:val="0"/>
        <w:widowControl/>
        <w:tabs>
          <w:tab w:val="left" w:pos="52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6080" w:hanging="6080" w:hangingChars="19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铜鼓农商银行                          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689" w:bottom="1440" w:left="168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NjVlYjVjNTIxNjZiODNhMGFiZTA2YWJlYzAwNjIifQ=="/>
  </w:docVars>
  <w:rsids>
    <w:rsidRoot w:val="00D31D50"/>
    <w:rsid w:val="00063FDC"/>
    <w:rsid w:val="001071CF"/>
    <w:rsid w:val="001C5AE0"/>
    <w:rsid w:val="001D6AB1"/>
    <w:rsid w:val="00201AC8"/>
    <w:rsid w:val="00300EA5"/>
    <w:rsid w:val="00323B43"/>
    <w:rsid w:val="003D37D8"/>
    <w:rsid w:val="003E4E94"/>
    <w:rsid w:val="00423387"/>
    <w:rsid w:val="00426133"/>
    <w:rsid w:val="004358AB"/>
    <w:rsid w:val="00441BF8"/>
    <w:rsid w:val="004463B0"/>
    <w:rsid w:val="0053132B"/>
    <w:rsid w:val="0059617B"/>
    <w:rsid w:val="005C6ECC"/>
    <w:rsid w:val="00675FA7"/>
    <w:rsid w:val="006D3FD9"/>
    <w:rsid w:val="006F0BBF"/>
    <w:rsid w:val="00794720"/>
    <w:rsid w:val="007E65D5"/>
    <w:rsid w:val="008B7726"/>
    <w:rsid w:val="008B7A33"/>
    <w:rsid w:val="008E3986"/>
    <w:rsid w:val="00913B26"/>
    <w:rsid w:val="0095485F"/>
    <w:rsid w:val="00A427DD"/>
    <w:rsid w:val="00AF6A0A"/>
    <w:rsid w:val="00B161D1"/>
    <w:rsid w:val="00C46292"/>
    <w:rsid w:val="00C9431D"/>
    <w:rsid w:val="00D31D50"/>
    <w:rsid w:val="00D36C78"/>
    <w:rsid w:val="00D435E4"/>
    <w:rsid w:val="00E94647"/>
    <w:rsid w:val="00EE3B64"/>
    <w:rsid w:val="00F417EA"/>
    <w:rsid w:val="00F42DB6"/>
    <w:rsid w:val="070A1310"/>
    <w:rsid w:val="0A311B3C"/>
    <w:rsid w:val="1C4D767F"/>
    <w:rsid w:val="235272F7"/>
    <w:rsid w:val="29924F9D"/>
    <w:rsid w:val="3A1731DF"/>
    <w:rsid w:val="421311EA"/>
    <w:rsid w:val="424E762B"/>
    <w:rsid w:val="484F58BB"/>
    <w:rsid w:val="4F931311"/>
    <w:rsid w:val="50E02E21"/>
    <w:rsid w:val="56927D08"/>
    <w:rsid w:val="5B551225"/>
    <w:rsid w:val="5E983F6C"/>
    <w:rsid w:val="6E533204"/>
    <w:rsid w:val="708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827</Words>
  <Characters>884</Characters>
  <Lines>5</Lines>
  <Paragraphs>1</Paragraphs>
  <TotalTime>8</TotalTime>
  <ScaleCrop>false</ScaleCrop>
  <LinksUpToDate>false</LinksUpToDate>
  <CharactersWithSpaces>958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2022-06-21T02:46:00Z</dcterms:created>
  <dc:creator>Administrator</dc:creator>
  <cp:lastModifiedBy>宠爱绾芊</cp:lastModifiedBy>
  <cp:lastPrinted>2022-10-25T08:56:00Z</cp:lastPrinted>
  <dcterms:modified xsi:type="dcterms:W3CDTF">2023-08-15T09:34:58Z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7F6F4DFFD66741688B0433E85CC81E24</vt:lpwstr>
  </property>
</Properties>
</file>