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512" w:rightChars="-244" w:firstLine="0" w:firstLineChars="0"/>
        <w:jc w:val="center"/>
        <w:textAlignment w:val="auto"/>
        <w:outlineLvl w:val="9"/>
        <w:rPr>
          <w:rFonts w:hint="eastAsia" w:ascii="方正大标宋简体" w:hAnsi="宋体" w:eastAsia="方正大标宋简体" w:cs="宋体"/>
          <w:color w:val="auto"/>
          <w:sz w:val="44"/>
          <w:szCs w:val="44"/>
          <w:highlight w:val="none"/>
        </w:rPr>
      </w:pPr>
      <w:r>
        <w:rPr>
          <w:rFonts w:hint="eastAsia" w:ascii="方正大标宋简体" w:hAnsi="宋体" w:eastAsia="方正大标宋简体"/>
          <w:color w:val="auto"/>
          <w:sz w:val="44"/>
          <w:szCs w:val="44"/>
          <w:highlight w:val="none"/>
        </w:rPr>
        <w:t>萍乡</w:t>
      </w:r>
      <w:r>
        <w:rPr>
          <w:rFonts w:hint="eastAsia" w:ascii="方正大标宋简体" w:hAnsi="宋体" w:eastAsia="方正大标宋简体" w:cs="宋体"/>
          <w:color w:val="auto"/>
          <w:sz w:val="44"/>
          <w:szCs w:val="44"/>
          <w:highlight w:val="none"/>
        </w:rPr>
        <w:t>农村商业银行股份有限公司</w:t>
      </w:r>
    </w:p>
    <w:p>
      <w:pPr>
        <w:keepNext w:val="0"/>
        <w:keepLines w:val="0"/>
        <w:pageBreakBefore w:val="0"/>
        <w:widowControl w:val="0"/>
        <w:kinsoku/>
        <w:wordWrap/>
        <w:overflowPunct/>
        <w:topLinePunct w:val="0"/>
        <w:autoSpaceDE/>
        <w:autoSpaceDN/>
        <w:bidi w:val="0"/>
        <w:adjustRightInd/>
        <w:snapToGrid/>
        <w:spacing w:line="700" w:lineRule="exact"/>
        <w:ind w:right="-512" w:rightChars="-244" w:firstLine="0" w:firstLineChars="0"/>
        <w:jc w:val="center"/>
        <w:textAlignment w:val="auto"/>
        <w:outlineLvl w:val="9"/>
        <w:rPr>
          <w:rFonts w:hint="eastAsia" w:ascii="方正大标宋简体" w:hAnsi="宋体" w:eastAsia="方正大标宋简体"/>
          <w:color w:val="auto"/>
          <w:sz w:val="44"/>
          <w:szCs w:val="44"/>
          <w:highlight w:val="none"/>
        </w:rPr>
      </w:pPr>
      <w:r>
        <w:rPr>
          <w:rFonts w:hint="eastAsia" w:ascii="方正大标宋简体" w:hAnsi="宋体" w:eastAsia="方正大标宋简体"/>
          <w:color w:val="auto"/>
          <w:sz w:val="44"/>
          <w:szCs w:val="44"/>
          <w:highlight w:val="none"/>
        </w:rPr>
        <w:t>202</w:t>
      </w:r>
      <w:r>
        <w:rPr>
          <w:rFonts w:hint="eastAsia" w:ascii="方正大标宋简体" w:hAnsi="宋体" w:eastAsia="方正大标宋简体"/>
          <w:color w:val="auto"/>
          <w:sz w:val="44"/>
          <w:szCs w:val="44"/>
          <w:highlight w:val="none"/>
          <w:lang w:val="en-US" w:eastAsia="zh-CN"/>
        </w:rPr>
        <w:t>4</w:t>
      </w:r>
      <w:r>
        <w:rPr>
          <w:rFonts w:hint="eastAsia" w:ascii="方正大标宋简体" w:hAnsi="宋体" w:eastAsia="方正大标宋简体"/>
          <w:color w:val="auto"/>
          <w:sz w:val="44"/>
          <w:szCs w:val="44"/>
          <w:highlight w:val="none"/>
        </w:rPr>
        <w:t>年度信息披露报告</w:t>
      </w:r>
    </w:p>
    <w:p>
      <w:pPr>
        <w:spacing w:line="560" w:lineRule="exact"/>
        <w:rPr>
          <w:rFonts w:hint="eastAsia" w:ascii="仿宋_GB2312" w:hAnsi="仿宋" w:eastAsia="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一、重要提示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1.1  萍乡农村商业银行股份有限公司（以下简称“本行）董事会及董事保证本报告所载资料不存在任何虚假记载、误导性陈述或者重大遗漏，并对其内容的真实性、准确性和完整性承担个别及连带责任。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1.2  本行第二届董事会第</w:t>
      </w:r>
      <w:r>
        <w:rPr>
          <w:rFonts w:hint="eastAsia" w:ascii="仿宋_GB2312" w:hAnsi="仿宋" w:eastAsia="仿宋_GB2312"/>
          <w:color w:val="auto"/>
          <w:sz w:val="32"/>
          <w:szCs w:val="32"/>
          <w:highlight w:val="none"/>
          <w:lang w:val="en-US" w:eastAsia="zh-CN"/>
        </w:rPr>
        <w:t>23</w:t>
      </w:r>
      <w:r>
        <w:rPr>
          <w:rFonts w:hint="eastAsia" w:ascii="仿宋_GB2312" w:hAnsi="仿宋" w:eastAsia="仿宋_GB2312"/>
          <w:color w:val="auto"/>
          <w:sz w:val="32"/>
          <w:szCs w:val="32"/>
          <w:highlight w:val="none"/>
        </w:rPr>
        <w:t>次会议审议通过了本报告。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二、基本</w:t>
      </w:r>
      <w:r>
        <w:rPr>
          <w:rFonts w:hint="eastAsia" w:ascii="黑体" w:hAnsi="黑体" w:eastAsia="黑体"/>
          <w:color w:val="auto"/>
          <w:sz w:val="32"/>
          <w:szCs w:val="32"/>
          <w:highlight w:val="none"/>
          <w:lang w:val="en-US" w:eastAsia="zh-CN"/>
        </w:rPr>
        <w:t>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2.1  法定中文名称：萍乡农村商业银行股份有限公司，简称：萍乡农商银行，法定英文名称：Pingxiang</w:t>
      </w:r>
      <w:r>
        <w:rPr>
          <w:rFonts w:hint="eastAsia" w:ascii="仿宋_GB2312" w:hAnsi="仿宋" w:eastAsia="仿宋_GB2312"/>
          <w:color w:val="auto"/>
          <w:kern w:val="0"/>
          <w:sz w:val="32"/>
          <w:szCs w:val="32"/>
          <w:highlight w:val="none"/>
        </w:rPr>
        <w:t xml:space="preserve"> Rural Commercial Bank Co.，Ltd.</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2.2  法定代表人：曹新建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olor w:val="auto"/>
          <w:kern w:val="0"/>
          <w:sz w:val="32"/>
          <w:szCs w:val="32"/>
          <w:highlight w:val="none"/>
          <w:lang w:val="zh-CN"/>
        </w:rPr>
      </w:pPr>
      <w:r>
        <w:rPr>
          <w:rFonts w:hint="eastAsia" w:ascii="仿宋_GB2312" w:hAnsi="仿宋" w:eastAsia="仿宋_GB2312"/>
          <w:color w:val="auto"/>
          <w:sz w:val="32"/>
          <w:szCs w:val="32"/>
          <w:highlight w:val="none"/>
        </w:rPr>
        <w:t>2.3  注册及办公地址：江西省萍乡市安源新区韶山西路2号；邮政编码：337099。公司注册登记日期：2014年12月30日。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 w:eastAsia="仿宋_GB2312"/>
          <w:color w:val="auto"/>
          <w:sz w:val="32"/>
          <w:szCs w:val="32"/>
          <w:highlight w:val="none"/>
        </w:rPr>
      </w:pPr>
      <w:r>
        <w:rPr>
          <w:rFonts w:hint="eastAsia" w:ascii="仿宋_GB2312" w:hAnsi="仿宋" w:eastAsia="仿宋_GB2312"/>
          <w:color w:val="auto"/>
          <w:spacing w:val="-6"/>
          <w:sz w:val="32"/>
          <w:szCs w:val="32"/>
          <w:highlight w:val="none"/>
        </w:rPr>
        <w:t>2.4  其他有关资料：营业执照统一社会信用代码913603003225613887，金融许可证号B0604H336030001。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黑体" w:cs="宋体"/>
          <w:color w:val="auto"/>
          <w:kern w:val="0"/>
          <w:sz w:val="32"/>
          <w:szCs w:val="32"/>
          <w:highlight w:val="none"/>
          <w:lang w:val="en-US" w:eastAsia="zh-CN"/>
        </w:rPr>
      </w:pPr>
      <w:r>
        <w:rPr>
          <w:rFonts w:hint="eastAsia" w:ascii="黑体" w:hAnsi="黑体" w:eastAsia="黑体"/>
          <w:color w:val="auto"/>
          <w:sz w:val="32"/>
          <w:szCs w:val="32"/>
          <w:highlight w:val="none"/>
        </w:rPr>
        <w:t>三、</w:t>
      </w:r>
      <w:r>
        <w:rPr>
          <w:rFonts w:hint="eastAsia" w:ascii="黑体" w:hAnsi="黑体" w:eastAsia="黑体"/>
          <w:color w:val="auto"/>
          <w:sz w:val="32"/>
          <w:szCs w:val="32"/>
          <w:highlight w:val="none"/>
          <w:lang w:val="en-US" w:eastAsia="zh-CN"/>
        </w:rPr>
        <w:t>财务会计报告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宋体"/>
          <w:color w:val="auto"/>
          <w:kern w:val="0"/>
          <w:sz w:val="24"/>
          <w:highlight w:val="none"/>
          <w:lang w:val="en-US" w:eastAsia="zh-CN"/>
        </w:rPr>
      </w:pPr>
      <w:r>
        <w:rPr>
          <w:rFonts w:hint="eastAsia" w:ascii="仿宋_GB2312" w:hAnsi="仿宋" w:eastAsia="仿宋_GB2312"/>
          <w:color w:val="auto"/>
          <w:sz w:val="32"/>
          <w:szCs w:val="32"/>
          <w:highlight w:val="none"/>
        </w:rPr>
        <w:t>3.1报告期主要利润指标情况</w:t>
      </w:r>
      <w:r>
        <w:rPr>
          <w:rFonts w:hint="eastAsia" w:ascii="仿宋_GB2312" w:hAnsi="仿宋" w:eastAsia="仿宋_GB2312" w:cs="宋体"/>
          <w:color w:val="auto"/>
          <w:kern w:val="0"/>
          <w:sz w:val="32"/>
          <w:szCs w:val="32"/>
          <w:highlight w:val="none"/>
        </w:rPr>
        <w:t xml:space="preserve">  </w:t>
      </w:r>
      <w:r>
        <w:rPr>
          <w:rFonts w:hint="eastAsia" w:ascii="仿宋" w:hAnsi="仿宋" w:eastAsia="仿宋" w:cs="宋体"/>
          <w:color w:val="auto"/>
          <w:kern w:val="0"/>
          <w:sz w:val="24"/>
          <w:highlight w:val="none"/>
          <w:lang w:val="en-US" w:eastAsia="zh-CN"/>
        </w:rPr>
        <w:t xml:space="preserve">                                                     </w:t>
      </w:r>
    </w:p>
    <w:p>
      <w:pPr>
        <w:widowControl/>
        <w:spacing w:line="540" w:lineRule="exact"/>
        <w:jc w:val="center"/>
        <w:rPr>
          <w:rFonts w:hint="eastAsia" w:ascii="仿宋_GB2312" w:hAnsi="仿宋" w:eastAsia="仿宋_GB2312" w:cs="宋体"/>
          <w:color w:val="auto"/>
          <w:kern w:val="0"/>
          <w:sz w:val="24"/>
          <w:highlight w:val="none"/>
        </w:rPr>
      </w:pPr>
      <w:r>
        <w:rPr>
          <w:rFonts w:hint="eastAsia" w:ascii="仿宋" w:hAnsi="仿宋" w:eastAsia="仿宋" w:cs="宋体"/>
          <w:color w:val="auto"/>
          <w:kern w:val="0"/>
          <w:sz w:val="24"/>
          <w:highlight w:val="none"/>
          <w:lang w:val="en-US" w:eastAsia="zh-CN"/>
        </w:rPr>
        <w:t xml:space="preserve">                                                            </w:t>
      </w:r>
      <w:r>
        <w:rPr>
          <w:rFonts w:hint="eastAsia" w:ascii="仿宋" w:hAnsi="仿宋" w:eastAsia="仿宋" w:cs="宋体"/>
          <w:color w:val="auto"/>
          <w:kern w:val="0"/>
          <w:sz w:val="24"/>
          <w:highlight w:val="none"/>
        </w:rPr>
        <w:t>单位：万元</w:t>
      </w:r>
    </w:p>
    <w:tbl>
      <w:tblPr>
        <w:tblStyle w:val="9"/>
        <w:tblW w:w="90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10"/>
        <w:gridCol w:w="4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451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项目</w:t>
            </w:r>
          </w:p>
        </w:tc>
        <w:tc>
          <w:tcPr>
            <w:tcW w:w="451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2024年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451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利润总额</w:t>
            </w:r>
          </w:p>
        </w:tc>
        <w:tc>
          <w:tcPr>
            <w:tcW w:w="451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462.25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451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税备前利润</w:t>
            </w:r>
          </w:p>
        </w:tc>
        <w:tc>
          <w:tcPr>
            <w:tcW w:w="451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21,016.63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451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营业利润</w:t>
            </w:r>
          </w:p>
        </w:tc>
        <w:tc>
          <w:tcPr>
            <w:tcW w:w="451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612.94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451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营业净收入</w:t>
            </w:r>
          </w:p>
        </w:tc>
        <w:tc>
          <w:tcPr>
            <w:tcW w:w="451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42,454.56</w:t>
            </w:r>
          </w:p>
        </w:tc>
      </w:tr>
    </w:tbl>
    <w:p>
      <w:pPr>
        <w:spacing w:line="540" w:lineRule="exact"/>
        <w:ind w:left="8242" w:leftChars="344" w:hanging="7520" w:hangingChars="2350"/>
        <w:jc w:val="left"/>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3.2  截至报告期末近两年的主要财务数据和财务指标</w:t>
      </w:r>
    </w:p>
    <w:p>
      <w:pPr>
        <w:spacing w:line="540" w:lineRule="exact"/>
        <w:ind w:left="6362" w:leftChars="344" w:hanging="5640" w:hangingChars="2350"/>
        <w:jc w:val="right"/>
        <w:rPr>
          <w:rFonts w:ascii="仿宋" w:hAnsi="仿宋" w:eastAsia="仿宋"/>
          <w:color w:val="auto"/>
          <w:sz w:val="32"/>
          <w:szCs w:val="32"/>
          <w:highlight w:val="none"/>
        </w:rPr>
      </w:pPr>
      <w:r>
        <w:rPr>
          <w:rFonts w:hint="eastAsia" w:ascii="仿宋" w:hAnsi="仿宋" w:eastAsia="仿宋" w:cs="宋体"/>
          <w:color w:val="auto"/>
          <w:kern w:val="0"/>
          <w:sz w:val="24"/>
          <w:highlight w:val="none"/>
        </w:rPr>
        <w:t>单位：万元</w:t>
      </w:r>
    </w:p>
    <w:tbl>
      <w:tblPr>
        <w:tblStyle w:val="9"/>
        <w:tblW w:w="8980" w:type="dxa"/>
        <w:tblInd w:w="80" w:type="dxa"/>
        <w:tblLayout w:type="fixed"/>
        <w:tblCellMar>
          <w:top w:w="0" w:type="dxa"/>
          <w:left w:w="108" w:type="dxa"/>
          <w:bottom w:w="0" w:type="dxa"/>
          <w:right w:w="108" w:type="dxa"/>
        </w:tblCellMar>
      </w:tblPr>
      <w:tblGrid>
        <w:gridCol w:w="3251"/>
        <w:gridCol w:w="3043"/>
        <w:gridCol w:w="2686"/>
      </w:tblGrid>
      <w:tr>
        <w:tblPrEx>
          <w:tblCellMar>
            <w:top w:w="0" w:type="dxa"/>
            <w:left w:w="108" w:type="dxa"/>
            <w:bottom w:w="0" w:type="dxa"/>
            <w:right w:w="108" w:type="dxa"/>
          </w:tblCellMar>
        </w:tblPrEx>
        <w:trPr>
          <w:trHeight w:val="597" w:hRule="atLeast"/>
        </w:trPr>
        <w:tc>
          <w:tcPr>
            <w:tcW w:w="325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项目</w:t>
            </w:r>
          </w:p>
        </w:tc>
        <w:tc>
          <w:tcPr>
            <w:tcW w:w="3043" w:type="dxa"/>
            <w:tcBorders>
              <w:top w:val="single" w:color="auto" w:sz="4" w:space="0"/>
              <w:left w:val="nil"/>
              <w:bottom w:val="single" w:color="auto" w:sz="4" w:space="0"/>
              <w:right w:val="nil"/>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2023年</w:t>
            </w:r>
          </w:p>
        </w:tc>
        <w:tc>
          <w:tcPr>
            <w:tcW w:w="268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2024年</w:t>
            </w:r>
          </w:p>
        </w:tc>
      </w:tr>
      <w:tr>
        <w:tblPrEx>
          <w:tblCellMar>
            <w:top w:w="0" w:type="dxa"/>
            <w:left w:w="108" w:type="dxa"/>
            <w:bottom w:w="0" w:type="dxa"/>
            <w:right w:w="108" w:type="dxa"/>
          </w:tblCellMar>
        </w:tblPrEx>
        <w:trPr>
          <w:trHeight w:val="574" w:hRule="atLeast"/>
        </w:trPr>
        <w:tc>
          <w:tcPr>
            <w:tcW w:w="3251"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营业收入</w:t>
            </w:r>
          </w:p>
        </w:tc>
        <w:tc>
          <w:tcPr>
            <w:tcW w:w="3043" w:type="dxa"/>
            <w:tcBorders>
              <w:top w:val="nil"/>
              <w:left w:val="nil"/>
              <w:bottom w:val="single" w:color="auto" w:sz="4" w:space="0"/>
              <w:right w:val="nil"/>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106,275.20</w:t>
            </w:r>
          </w:p>
        </w:tc>
        <w:tc>
          <w:tcPr>
            <w:tcW w:w="2686"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94,032.29</w:t>
            </w:r>
          </w:p>
        </w:tc>
      </w:tr>
      <w:tr>
        <w:tblPrEx>
          <w:tblCellMar>
            <w:top w:w="0" w:type="dxa"/>
            <w:left w:w="108" w:type="dxa"/>
            <w:bottom w:w="0" w:type="dxa"/>
            <w:right w:w="108" w:type="dxa"/>
          </w:tblCellMar>
        </w:tblPrEx>
        <w:trPr>
          <w:trHeight w:val="574" w:hRule="atLeast"/>
        </w:trPr>
        <w:tc>
          <w:tcPr>
            <w:tcW w:w="3251"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年末总资产</w:t>
            </w:r>
          </w:p>
        </w:tc>
        <w:tc>
          <w:tcPr>
            <w:tcW w:w="3043" w:type="dxa"/>
            <w:tcBorders>
              <w:top w:val="nil"/>
              <w:left w:val="nil"/>
              <w:bottom w:val="single" w:color="auto" w:sz="4" w:space="0"/>
              <w:right w:val="nil"/>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2,544,131.16</w:t>
            </w:r>
          </w:p>
        </w:tc>
        <w:tc>
          <w:tcPr>
            <w:tcW w:w="2686"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2,562,008.99</w:t>
            </w:r>
          </w:p>
        </w:tc>
      </w:tr>
      <w:tr>
        <w:tblPrEx>
          <w:tblCellMar>
            <w:top w:w="0" w:type="dxa"/>
            <w:left w:w="108" w:type="dxa"/>
            <w:bottom w:w="0" w:type="dxa"/>
            <w:right w:w="108" w:type="dxa"/>
          </w:tblCellMar>
        </w:tblPrEx>
        <w:trPr>
          <w:trHeight w:val="574" w:hRule="atLeast"/>
        </w:trPr>
        <w:tc>
          <w:tcPr>
            <w:tcW w:w="3251"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年末存款余额</w:t>
            </w:r>
          </w:p>
        </w:tc>
        <w:tc>
          <w:tcPr>
            <w:tcW w:w="3043" w:type="dxa"/>
            <w:tcBorders>
              <w:top w:val="nil"/>
              <w:left w:val="nil"/>
              <w:bottom w:val="single" w:color="auto" w:sz="4" w:space="0"/>
              <w:right w:val="nil"/>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1,912,347.47</w:t>
            </w:r>
          </w:p>
        </w:tc>
        <w:tc>
          <w:tcPr>
            <w:tcW w:w="2686"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1,918,701.90</w:t>
            </w:r>
          </w:p>
        </w:tc>
      </w:tr>
      <w:tr>
        <w:tblPrEx>
          <w:tblCellMar>
            <w:top w:w="0" w:type="dxa"/>
            <w:left w:w="108" w:type="dxa"/>
            <w:bottom w:w="0" w:type="dxa"/>
            <w:right w:w="108" w:type="dxa"/>
          </w:tblCellMar>
        </w:tblPrEx>
        <w:trPr>
          <w:trHeight w:val="574" w:hRule="atLeast"/>
        </w:trPr>
        <w:tc>
          <w:tcPr>
            <w:tcW w:w="3251"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年末贷款余额</w:t>
            </w:r>
          </w:p>
        </w:tc>
        <w:tc>
          <w:tcPr>
            <w:tcW w:w="3043" w:type="dxa"/>
            <w:tcBorders>
              <w:top w:val="nil"/>
              <w:left w:val="nil"/>
              <w:bottom w:val="single" w:color="auto" w:sz="4" w:space="0"/>
              <w:right w:val="nil"/>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1,651,764.09</w:t>
            </w:r>
          </w:p>
        </w:tc>
        <w:tc>
          <w:tcPr>
            <w:tcW w:w="2686"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1,676,397.80</w:t>
            </w:r>
          </w:p>
        </w:tc>
      </w:tr>
      <w:tr>
        <w:tblPrEx>
          <w:tblCellMar>
            <w:top w:w="0" w:type="dxa"/>
            <w:left w:w="108" w:type="dxa"/>
            <w:bottom w:w="0" w:type="dxa"/>
            <w:right w:w="108" w:type="dxa"/>
          </w:tblCellMar>
        </w:tblPrEx>
        <w:trPr>
          <w:trHeight w:val="574" w:hRule="atLeast"/>
        </w:trPr>
        <w:tc>
          <w:tcPr>
            <w:tcW w:w="3251"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年末所有者权益</w:t>
            </w:r>
          </w:p>
        </w:tc>
        <w:tc>
          <w:tcPr>
            <w:tcW w:w="3043" w:type="dxa"/>
            <w:tcBorders>
              <w:top w:val="nil"/>
              <w:left w:val="nil"/>
              <w:bottom w:val="single" w:color="auto" w:sz="4" w:space="0"/>
              <w:right w:val="nil"/>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137,855.92</w:t>
            </w:r>
          </w:p>
        </w:tc>
        <w:tc>
          <w:tcPr>
            <w:tcW w:w="2686"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138,276.28</w:t>
            </w:r>
          </w:p>
        </w:tc>
      </w:tr>
      <w:tr>
        <w:tblPrEx>
          <w:tblCellMar>
            <w:top w:w="0" w:type="dxa"/>
            <w:left w:w="108" w:type="dxa"/>
            <w:bottom w:w="0" w:type="dxa"/>
            <w:right w:w="108" w:type="dxa"/>
          </w:tblCellMar>
        </w:tblPrEx>
        <w:trPr>
          <w:trHeight w:val="574" w:hRule="atLeast"/>
        </w:trPr>
        <w:tc>
          <w:tcPr>
            <w:tcW w:w="3251"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每股收益(元/股)</w:t>
            </w:r>
          </w:p>
        </w:tc>
        <w:tc>
          <w:tcPr>
            <w:tcW w:w="3043" w:type="dxa"/>
            <w:tcBorders>
              <w:top w:val="nil"/>
              <w:left w:val="nil"/>
              <w:bottom w:val="single" w:color="auto" w:sz="4" w:space="0"/>
              <w:right w:val="nil"/>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0.04</w:t>
            </w:r>
          </w:p>
        </w:tc>
        <w:tc>
          <w:tcPr>
            <w:tcW w:w="2686"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0.00</w:t>
            </w:r>
          </w:p>
        </w:tc>
      </w:tr>
      <w:tr>
        <w:tblPrEx>
          <w:tblCellMar>
            <w:top w:w="0" w:type="dxa"/>
            <w:left w:w="108" w:type="dxa"/>
            <w:bottom w:w="0" w:type="dxa"/>
            <w:right w:w="108" w:type="dxa"/>
          </w:tblCellMar>
        </w:tblPrEx>
        <w:trPr>
          <w:trHeight w:val="593" w:hRule="atLeast"/>
        </w:trPr>
        <w:tc>
          <w:tcPr>
            <w:tcW w:w="3251"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净资产收益率(%)</w:t>
            </w:r>
          </w:p>
        </w:tc>
        <w:tc>
          <w:tcPr>
            <w:tcW w:w="3043" w:type="dxa"/>
            <w:tcBorders>
              <w:top w:val="nil"/>
              <w:left w:val="nil"/>
              <w:bottom w:val="single" w:color="auto" w:sz="4" w:space="0"/>
              <w:right w:val="nil"/>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4.43</w:t>
            </w:r>
          </w:p>
        </w:tc>
        <w:tc>
          <w:tcPr>
            <w:tcW w:w="2686"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0.22</w:t>
            </w:r>
          </w:p>
        </w:tc>
      </w:tr>
    </w:tbl>
    <w:p>
      <w:pPr>
        <w:spacing w:line="540" w:lineRule="exact"/>
        <w:ind w:firstLine="640" w:firstLineChars="200"/>
        <w:rPr>
          <w:rFonts w:hint="eastAsia" w:ascii="仿宋_GB2312" w:hAnsi="黑体" w:eastAsia="仿宋_GB2312"/>
          <w:b/>
          <w:color w:val="auto"/>
          <w:sz w:val="32"/>
          <w:szCs w:val="32"/>
          <w:highlight w:val="none"/>
          <w:shd w:val="clear" w:color="auto" w:fill="auto"/>
          <w:lang w:eastAsia="zh-CN"/>
        </w:rPr>
      </w:pPr>
      <w:r>
        <w:rPr>
          <w:rFonts w:hint="eastAsia" w:ascii="仿宋_GB2312" w:hAnsi="仿宋" w:eastAsia="仿宋_GB2312"/>
          <w:color w:val="auto"/>
          <w:sz w:val="32"/>
          <w:szCs w:val="32"/>
          <w:highlight w:val="none"/>
          <w:shd w:val="clear" w:color="auto" w:fill="auto"/>
        </w:rPr>
        <w:t>3.3  报告期内资本构成及其变化情况</w:t>
      </w:r>
    </w:p>
    <w:p>
      <w:pPr>
        <w:spacing w:line="540" w:lineRule="exact"/>
        <w:ind w:left="4560" w:hanging="4560" w:hangingChars="1900"/>
        <w:jc w:val="righ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单位：万元</w:t>
      </w:r>
    </w:p>
    <w:tbl>
      <w:tblPr>
        <w:tblStyle w:val="9"/>
        <w:tblW w:w="904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9"/>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项目</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202</w:t>
            </w:r>
            <w:r>
              <w:rPr>
                <w:rFonts w:hint="eastAsia" w:ascii="仿宋_GB2312" w:hAnsi="仿宋" w:eastAsia="仿宋_GB2312"/>
                <w:color w:val="auto"/>
                <w:sz w:val="24"/>
                <w:szCs w:val="24"/>
                <w:highlight w:val="none"/>
                <w:lang w:val="en-US" w:eastAsia="zh-CN"/>
              </w:rPr>
              <w:t>4</w:t>
            </w:r>
            <w:r>
              <w:rPr>
                <w:rFonts w:hint="eastAsia" w:ascii="仿宋_GB2312" w:hAnsi="仿宋" w:eastAsia="仿宋_GB2312"/>
                <w:color w:val="auto"/>
                <w:sz w:val="24"/>
                <w:szCs w:val="24"/>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1.核心一级资本</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138276.28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2.核心一级资本监管扣减项</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994.73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3.核心一级资本净额</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color w:val="auto"/>
                <w:highlight w:val="none"/>
              </w:rPr>
              <w:t>137281.55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4.一级资本净额</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color w:val="auto"/>
                <w:highlight w:val="none"/>
              </w:rPr>
              <w:t>137281.55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5.二级资本</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9246.35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6.总资本净额</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146527.9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7.风险加权资产</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rPr>
              <w:t>1472666.2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7.1信用风险加权资产</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rPr>
              <w:t>1380903.2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7.1.1表内加权风险资产</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1378499.77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7.1.2表外加权风险资产</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2403.43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7.2市场风险加权风险资产</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87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ind w:firstLine="480" w:firstLineChars="20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7.3操作风险加权资产</w:t>
            </w:r>
          </w:p>
        </w:tc>
        <w:tc>
          <w:tcPr>
            <w:tcW w:w="316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rPr>
              <w:t>91763</w:t>
            </w:r>
          </w:p>
        </w:tc>
      </w:tr>
    </w:tbl>
    <w:p>
      <w:pPr>
        <w:spacing w:line="560" w:lineRule="exact"/>
        <w:ind w:firstLine="640" w:firstLineChars="200"/>
        <w:rPr>
          <w:rFonts w:hint="eastAsia" w:ascii="仿宋_GB2312" w:hAnsi="黑体" w:eastAsia="仿宋_GB2312"/>
          <w:b/>
          <w:color w:val="auto"/>
          <w:sz w:val="32"/>
          <w:szCs w:val="32"/>
          <w:highlight w:val="none"/>
        </w:rPr>
      </w:pPr>
      <w:r>
        <w:rPr>
          <w:rFonts w:hint="eastAsia" w:ascii="仿宋_GB2312" w:hAnsi="仿宋" w:eastAsia="仿宋_GB2312"/>
          <w:color w:val="auto"/>
          <w:sz w:val="32"/>
          <w:szCs w:val="32"/>
          <w:highlight w:val="none"/>
        </w:rPr>
        <w:t>3.4  财务情况说明</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年，本行紧紧围绕年度经营计划，以存贷业务为重点，加大资金营运和中间业务拓展力度，在严格防范风险的前提下，实现了各项业务的稳健发展。截至202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年12月31日各项资产总计</w:t>
      </w:r>
      <w:r>
        <w:rPr>
          <w:rFonts w:hint="eastAsia" w:ascii="仿宋_GB2312" w:hAnsi="仿宋" w:eastAsia="仿宋_GB2312"/>
          <w:color w:val="auto"/>
          <w:sz w:val="32"/>
          <w:szCs w:val="32"/>
          <w:highlight w:val="none"/>
          <w:lang w:val="en-US" w:eastAsia="zh-CN"/>
        </w:rPr>
        <w:t>2,562,008.99</w:t>
      </w:r>
      <w:r>
        <w:rPr>
          <w:rFonts w:hint="eastAsia" w:ascii="仿宋_GB2312" w:hAnsi="仿宋" w:eastAsia="仿宋_GB2312"/>
          <w:color w:val="auto"/>
          <w:sz w:val="32"/>
          <w:szCs w:val="32"/>
          <w:highlight w:val="none"/>
        </w:rPr>
        <w:t>万元，负债总计</w:t>
      </w:r>
      <w:r>
        <w:rPr>
          <w:rFonts w:hint="eastAsia" w:ascii="仿宋_GB2312" w:hAnsi="仿宋" w:eastAsia="仿宋_GB2312"/>
          <w:color w:val="auto"/>
          <w:sz w:val="32"/>
          <w:szCs w:val="32"/>
          <w:highlight w:val="none"/>
          <w:lang w:val="en-US" w:eastAsia="zh-CN"/>
        </w:rPr>
        <w:t>2,423,732.72</w:t>
      </w:r>
      <w:r>
        <w:rPr>
          <w:rFonts w:hint="eastAsia" w:ascii="仿宋_GB2312" w:hAnsi="仿宋" w:eastAsia="仿宋_GB2312"/>
          <w:color w:val="auto"/>
          <w:sz w:val="32"/>
          <w:szCs w:val="32"/>
          <w:highlight w:val="none"/>
        </w:rPr>
        <w:t>万元，所有者权益</w:t>
      </w:r>
      <w:r>
        <w:rPr>
          <w:rFonts w:hint="eastAsia" w:ascii="仿宋_GB2312" w:hAnsi="仿宋" w:eastAsia="仿宋_GB2312"/>
          <w:color w:val="auto"/>
          <w:sz w:val="32"/>
          <w:szCs w:val="32"/>
          <w:highlight w:val="none"/>
          <w:lang w:val="en-US" w:eastAsia="zh-CN"/>
        </w:rPr>
        <w:t>138,276.28</w:t>
      </w:r>
      <w:r>
        <w:rPr>
          <w:rFonts w:hint="eastAsia" w:ascii="仿宋_GB2312" w:hAnsi="仿宋" w:eastAsia="仿宋_GB2312"/>
          <w:color w:val="auto"/>
          <w:sz w:val="32"/>
          <w:szCs w:val="32"/>
          <w:highlight w:val="none"/>
        </w:rPr>
        <w:t>万元，实现各项收入</w:t>
      </w:r>
      <w:r>
        <w:rPr>
          <w:rFonts w:hint="eastAsia" w:ascii="仿宋_GB2312" w:hAnsi="仿宋" w:eastAsia="仿宋_GB2312"/>
          <w:color w:val="auto"/>
          <w:sz w:val="32"/>
          <w:szCs w:val="32"/>
          <w:highlight w:val="none"/>
          <w:lang w:val="en-US" w:eastAsia="zh-CN"/>
        </w:rPr>
        <w:t>94,110.55</w:t>
      </w:r>
      <w:r>
        <w:rPr>
          <w:rFonts w:hint="eastAsia" w:ascii="仿宋_GB2312" w:hAnsi="仿宋" w:eastAsia="仿宋_GB2312"/>
          <w:color w:val="auto"/>
          <w:sz w:val="32"/>
          <w:szCs w:val="32"/>
          <w:highlight w:val="none"/>
        </w:rPr>
        <w:t>万元，实现税备前利润</w:t>
      </w:r>
      <w:r>
        <w:rPr>
          <w:rFonts w:hint="eastAsia" w:ascii="仿宋_GB2312" w:hAnsi="仿宋" w:eastAsia="仿宋_GB2312"/>
          <w:color w:val="auto"/>
          <w:sz w:val="32"/>
          <w:szCs w:val="32"/>
          <w:highlight w:val="none"/>
          <w:lang w:val="en-US" w:eastAsia="zh-CN"/>
        </w:rPr>
        <w:t>21,016.63</w:t>
      </w:r>
      <w:r>
        <w:rPr>
          <w:rFonts w:hint="eastAsia" w:ascii="仿宋_GB2312" w:hAnsi="仿宋" w:eastAsia="仿宋_GB2312"/>
          <w:color w:val="auto"/>
          <w:sz w:val="32"/>
          <w:szCs w:val="32"/>
          <w:highlight w:val="none"/>
        </w:rPr>
        <w:t>万元。</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3.5  财务报表</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资产</w:t>
      </w:r>
      <w:r>
        <w:rPr>
          <w:rFonts w:hint="eastAsia" w:ascii="仿宋_GB2312" w:hAnsi="仿宋" w:eastAsia="仿宋_GB2312"/>
          <w:color w:val="auto"/>
          <w:sz w:val="32"/>
          <w:szCs w:val="32"/>
          <w:highlight w:val="none"/>
          <w:lang w:val="en-US" w:eastAsia="zh-CN"/>
        </w:rPr>
        <w:t>负债表、利润表、审计报告（详见附件）。</w:t>
      </w:r>
      <w:bookmarkStart w:id="0" w:name="_GoBack"/>
      <w:bookmarkEnd w:id="0"/>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黑体" w:hAnsi="黑体" w:eastAsia="黑体"/>
          <w:color w:val="auto"/>
          <w:sz w:val="32"/>
          <w:szCs w:val="32"/>
          <w:highlight w:val="none"/>
          <w:lang w:val="en-US" w:eastAsia="zh-CN"/>
        </w:rPr>
        <w:t>四、风险管理</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4.1  主要监管指标情况</w:t>
      </w:r>
    </w:p>
    <w:tbl>
      <w:tblPr>
        <w:tblStyle w:val="9"/>
        <w:tblW w:w="9030" w:type="dxa"/>
        <w:tblInd w:w="108" w:type="dxa"/>
        <w:tblLayout w:type="fixed"/>
        <w:tblCellMar>
          <w:top w:w="0" w:type="dxa"/>
          <w:left w:w="108" w:type="dxa"/>
          <w:bottom w:w="0" w:type="dxa"/>
          <w:right w:w="108" w:type="dxa"/>
        </w:tblCellMar>
      </w:tblPr>
      <w:tblGrid>
        <w:gridCol w:w="3431"/>
        <w:gridCol w:w="2709"/>
        <w:gridCol w:w="2890"/>
      </w:tblGrid>
      <w:tr>
        <w:tblPrEx>
          <w:tblCellMar>
            <w:top w:w="0" w:type="dxa"/>
            <w:left w:w="108" w:type="dxa"/>
            <w:bottom w:w="0" w:type="dxa"/>
            <w:right w:w="108" w:type="dxa"/>
          </w:tblCellMar>
        </w:tblPrEx>
        <w:trPr>
          <w:trHeight w:val="143" w:hRule="atLeast"/>
        </w:trPr>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项目</w:t>
            </w:r>
          </w:p>
        </w:tc>
        <w:tc>
          <w:tcPr>
            <w:tcW w:w="270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202</w:t>
            </w:r>
            <w:r>
              <w:rPr>
                <w:rFonts w:hint="eastAsia" w:ascii="仿宋_GB2312" w:hAnsi="仿宋" w:eastAsia="仿宋_GB2312"/>
                <w:color w:val="auto"/>
                <w:sz w:val="24"/>
                <w:szCs w:val="24"/>
                <w:highlight w:val="none"/>
                <w:lang w:val="en-US" w:eastAsia="zh-CN"/>
              </w:rPr>
              <w:t>4</w:t>
            </w:r>
            <w:r>
              <w:rPr>
                <w:rFonts w:hint="eastAsia" w:ascii="仿宋_GB2312" w:hAnsi="仿宋" w:eastAsia="仿宋_GB2312"/>
                <w:color w:val="auto"/>
                <w:sz w:val="24"/>
                <w:szCs w:val="24"/>
                <w:highlight w:val="none"/>
              </w:rPr>
              <w:t>年末</w:t>
            </w:r>
          </w:p>
        </w:tc>
        <w:tc>
          <w:tcPr>
            <w:tcW w:w="289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监管要求</w:t>
            </w:r>
          </w:p>
        </w:tc>
      </w:tr>
      <w:tr>
        <w:tblPrEx>
          <w:tblCellMar>
            <w:top w:w="0" w:type="dxa"/>
            <w:left w:w="108" w:type="dxa"/>
            <w:bottom w:w="0" w:type="dxa"/>
            <w:right w:w="108" w:type="dxa"/>
          </w:tblCellMar>
        </w:tblPrEx>
        <w:trPr>
          <w:trHeight w:val="143" w:hRule="atLeast"/>
        </w:trPr>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资本充足率</w:t>
            </w:r>
          </w:p>
        </w:tc>
        <w:tc>
          <w:tcPr>
            <w:tcW w:w="270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9.95</w:t>
            </w:r>
          </w:p>
        </w:tc>
        <w:tc>
          <w:tcPr>
            <w:tcW w:w="289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≥10.5</w:t>
            </w:r>
          </w:p>
        </w:tc>
      </w:tr>
      <w:tr>
        <w:tblPrEx>
          <w:tblCellMar>
            <w:top w:w="0" w:type="dxa"/>
            <w:left w:w="108" w:type="dxa"/>
            <w:bottom w:w="0" w:type="dxa"/>
            <w:right w:w="108" w:type="dxa"/>
          </w:tblCellMar>
        </w:tblPrEx>
        <w:trPr>
          <w:trHeight w:val="143" w:hRule="atLeast"/>
        </w:trPr>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核心一级资本充足率</w:t>
            </w:r>
          </w:p>
        </w:tc>
        <w:tc>
          <w:tcPr>
            <w:tcW w:w="270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9.32</w:t>
            </w:r>
          </w:p>
        </w:tc>
        <w:tc>
          <w:tcPr>
            <w:tcW w:w="289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≥8.5</w:t>
            </w:r>
          </w:p>
        </w:tc>
      </w:tr>
      <w:tr>
        <w:tblPrEx>
          <w:tblCellMar>
            <w:top w:w="0" w:type="dxa"/>
            <w:left w:w="108" w:type="dxa"/>
            <w:bottom w:w="0" w:type="dxa"/>
            <w:right w:w="108" w:type="dxa"/>
          </w:tblCellMar>
        </w:tblPrEx>
        <w:trPr>
          <w:trHeight w:val="143" w:hRule="atLeast"/>
        </w:trPr>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流动性比率</w:t>
            </w:r>
          </w:p>
        </w:tc>
        <w:tc>
          <w:tcPr>
            <w:tcW w:w="270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75.44</w:t>
            </w:r>
          </w:p>
        </w:tc>
        <w:tc>
          <w:tcPr>
            <w:tcW w:w="289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≥25</w:t>
            </w:r>
          </w:p>
        </w:tc>
      </w:tr>
      <w:tr>
        <w:tblPrEx>
          <w:tblCellMar>
            <w:top w:w="0" w:type="dxa"/>
            <w:left w:w="108" w:type="dxa"/>
            <w:bottom w:w="0" w:type="dxa"/>
            <w:right w:w="108" w:type="dxa"/>
          </w:tblCellMar>
        </w:tblPrEx>
        <w:trPr>
          <w:trHeight w:val="143" w:hRule="atLeast"/>
        </w:trPr>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不良贷款率</w:t>
            </w:r>
          </w:p>
        </w:tc>
        <w:tc>
          <w:tcPr>
            <w:tcW w:w="270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3.94</w:t>
            </w:r>
          </w:p>
        </w:tc>
        <w:tc>
          <w:tcPr>
            <w:tcW w:w="289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w:t>
            </w:r>
          </w:p>
        </w:tc>
      </w:tr>
      <w:tr>
        <w:tblPrEx>
          <w:tblCellMar>
            <w:top w:w="0" w:type="dxa"/>
            <w:left w:w="108" w:type="dxa"/>
            <w:bottom w:w="0" w:type="dxa"/>
            <w:right w:w="108" w:type="dxa"/>
          </w:tblCellMar>
        </w:tblPrEx>
        <w:trPr>
          <w:trHeight w:val="143" w:hRule="atLeast"/>
        </w:trPr>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拨备覆盖率</w:t>
            </w:r>
          </w:p>
        </w:tc>
        <w:tc>
          <w:tcPr>
            <w:tcW w:w="270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115.09</w:t>
            </w:r>
          </w:p>
        </w:tc>
        <w:tc>
          <w:tcPr>
            <w:tcW w:w="289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≥150</w:t>
            </w:r>
          </w:p>
        </w:tc>
      </w:tr>
      <w:tr>
        <w:tblPrEx>
          <w:tblCellMar>
            <w:top w:w="0" w:type="dxa"/>
            <w:left w:w="108" w:type="dxa"/>
            <w:bottom w:w="0" w:type="dxa"/>
            <w:right w:w="108" w:type="dxa"/>
          </w:tblCellMar>
        </w:tblPrEx>
        <w:trPr>
          <w:trHeight w:val="640" w:hRule="atLeast"/>
        </w:trPr>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最大单家非同业单一客户贷款</w:t>
            </w:r>
          </w:p>
          <w:p>
            <w:pPr>
              <w:widowControl/>
              <w:spacing w:line="4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余额与资本净额的比率</w:t>
            </w:r>
          </w:p>
        </w:tc>
        <w:tc>
          <w:tcPr>
            <w:tcW w:w="270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8.12</w:t>
            </w:r>
          </w:p>
        </w:tc>
        <w:tc>
          <w:tcPr>
            <w:tcW w:w="289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≤10</w:t>
            </w:r>
          </w:p>
        </w:tc>
      </w:tr>
      <w:tr>
        <w:tblPrEx>
          <w:tblCellMar>
            <w:top w:w="0" w:type="dxa"/>
            <w:left w:w="108" w:type="dxa"/>
            <w:bottom w:w="0" w:type="dxa"/>
            <w:right w:w="108" w:type="dxa"/>
          </w:tblCellMar>
        </w:tblPrEx>
        <w:trPr>
          <w:trHeight w:val="843" w:hRule="atLeast"/>
        </w:trPr>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最大单家非同业集团或经济依存客户风险暴露与一级资本净额的比率</w:t>
            </w:r>
          </w:p>
        </w:tc>
        <w:tc>
          <w:tcPr>
            <w:tcW w:w="270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12.45</w:t>
            </w:r>
          </w:p>
        </w:tc>
        <w:tc>
          <w:tcPr>
            <w:tcW w:w="289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w:t>
            </w:r>
          </w:p>
          <w:p>
            <w:pPr>
              <w:widowControl/>
              <w:spacing w:line="540" w:lineRule="exact"/>
              <w:jc w:val="center"/>
              <w:rPr>
                <w:rFonts w:hint="eastAsia" w:ascii="仿宋_GB2312" w:hAnsi="仿宋" w:eastAsia="仿宋_GB2312"/>
                <w:color w:val="auto"/>
                <w:sz w:val="24"/>
                <w:szCs w:val="24"/>
                <w:highlight w:val="none"/>
              </w:rPr>
            </w:pPr>
          </w:p>
        </w:tc>
      </w:tr>
      <w:tr>
        <w:tblPrEx>
          <w:tblCellMar>
            <w:top w:w="0" w:type="dxa"/>
            <w:left w:w="108" w:type="dxa"/>
            <w:bottom w:w="0" w:type="dxa"/>
            <w:right w:w="108" w:type="dxa"/>
          </w:tblCellMar>
        </w:tblPrEx>
        <w:trPr>
          <w:trHeight w:val="711" w:hRule="atLeast"/>
        </w:trPr>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最大单家同业单一客户风险暴露与一级资本净额的比率</w:t>
            </w:r>
          </w:p>
        </w:tc>
        <w:tc>
          <w:tcPr>
            <w:tcW w:w="2709"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21.78</w:t>
            </w:r>
          </w:p>
        </w:tc>
        <w:tc>
          <w:tcPr>
            <w:tcW w:w="289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≤25</w:t>
            </w:r>
          </w:p>
          <w:p>
            <w:pPr>
              <w:widowControl/>
              <w:spacing w:line="260" w:lineRule="exact"/>
              <w:jc w:val="center"/>
              <w:rPr>
                <w:rFonts w:hint="eastAsia" w:ascii="仿宋_GB2312" w:hAnsi="仿宋" w:eastAsia="仿宋_GB2312"/>
                <w:color w:val="auto"/>
                <w:sz w:val="24"/>
                <w:szCs w:val="24"/>
                <w:highlight w:val="none"/>
              </w:rPr>
            </w:pPr>
          </w:p>
        </w:tc>
      </w:tr>
      <w:tr>
        <w:tblPrEx>
          <w:tblCellMar>
            <w:top w:w="0" w:type="dxa"/>
            <w:left w:w="108" w:type="dxa"/>
            <w:bottom w:w="0" w:type="dxa"/>
            <w:right w:w="108" w:type="dxa"/>
          </w:tblCellMar>
        </w:tblPrEx>
        <w:trPr>
          <w:trHeight w:val="143" w:hRule="atLeast"/>
        </w:trPr>
        <w:tc>
          <w:tcPr>
            <w:tcW w:w="3431"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成本收入比率</w:t>
            </w:r>
          </w:p>
        </w:tc>
        <w:tc>
          <w:tcPr>
            <w:tcW w:w="2709"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48.78</w:t>
            </w:r>
          </w:p>
        </w:tc>
        <w:tc>
          <w:tcPr>
            <w:tcW w:w="289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≤35</w:t>
            </w:r>
          </w:p>
        </w:tc>
      </w:tr>
    </w:tbl>
    <w:p>
      <w:pPr>
        <w:tabs>
          <w:tab w:val="left" w:pos="630"/>
        </w:tabs>
        <w:spacing w:line="5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 xml:space="preserve">.2  贷款主要行业分布 </w:t>
      </w:r>
      <w:r>
        <w:rPr>
          <w:rFonts w:hint="eastAsia" w:ascii="仿宋_GB2312" w:hAnsi="仿宋" w:eastAsia="仿宋_GB2312"/>
          <w:color w:val="auto"/>
          <w:sz w:val="30"/>
          <w:szCs w:val="30"/>
          <w:highlight w:val="none"/>
        </w:rPr>
        <w:t xml:space="preserve"> </w:t>
      </w:r>
      <w:r>
        <w:rPr>
          <w:rFonts w:hint="eastAsia" w:ascii="仿宋_GB2312" w:hAnsi="仿宋" w:eastAsia="仿宋_GB2312"/>
          <w:color w:val="auto"/>
          <w:sz w:val="32"/>
          <w:szCs w:val="32"/>
          <w:highlight w:val="none"/>
        </w:rPr>
        <w:t xml:space="preserve">             </w:t>
      </w:r>
    </w:p>
    <w:p>
      <w:pPr>
        <w:widowControl/>
        <w:spacing w:line="36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 xml:space="preserve">                                                       单位：万元、%</w:t>
      </w:r>
    </w:p>
    <w:tbl>
      <w:tblPr>
        <w:tblStyle w:val="9"/>
        <w:tblW w:w="9000" w:type="dxa"/>
        <w:tblInd w:w="0" w:type="dxa"/>
        <w:tblLayout w:type="fixed"/>
        <w:tblCellMar>
          <w:top w:w="15" w:type="dxa"/>
          <w:left w:w="15" w:type="dxa"/>
          <w:bottom w:w="15" w:type="dxa"/>
          <w:right w:w="15" w:type="dxa"/>
        </w:tblCellMar>
      </w:tblPr>
      <w:tblGrid>
        <w:gridCol w:w="3080"/>
        <w:gridCol w:w="2823"/>
        <w:gridCol w:w="3097"/>
      </w:tblGrid>
      <w:tr>
        <w:tblPrEx>
          <w:tblCellMar>
            <w:top w:w="15" w:type="dxa"/>
            <w:left w:w="15" w:type="dxa"/>
            <w:bottom w:w="15" w:type="dxa"/>
            <w:right w:w="15" w:type="dxa"/>
          </w:tblCellMar>
        </w:tblPrEx>
        <w:trPr>
          <w:trHeight w:val="478" w:hRule="atLeast"/>
        </w:trPr>
        <w:tc>
          <w:tcPr>
            <w:tcW w:w="3080"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行业种类</w:t>
            </w:r>
          </w:p>
        </w:tc>
        <w:tc>
          <w:tcPr>
            <w:tcW w:w="2823"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202</w:t>
            </w:r>
            <w:r>
              <w:rPr>
                <w:rFonts w:hint="eastAsia" w:ascii="仿宋_GB2312" w:hAnsi="仿宋" w:eastAsia="仿宋_GB2312"/>
                <w:color w:val="auto"/>
                <w:sz w:val="24"/>
                <w:szCs w:val="24"/>
                <w:highlight w:val="none"/>
                <w:lang w:val="en-US" w:eastAsia="zh-CN"/>
              </w:rPr>
              <w:t>4</w:t>
            </w:r>
            <w:r>
              <w:rPr>
                <w:rFonts w:hint="eastAsia" w:ascii="仿宋_GB2312" w:hAnsi="仿宋" w:eastAsia="仿宋_GB2312"/>
                <w:color w:val="auto"/>
                <w:sz w:val="24"/>
                <w:szCs w:val="24"/>
                <w:highlight w:val="none"/>
              </w:rPr>
              <w:t>年末贷款余额</w:t>
            </w:r>
          </w:p>
        </w:tc>
        <w:tc>
          <w:tcPr>
            <w:tcW w:w="3097" w:type="dxa"/>
            <w:tcBorders>
              <w:top w:val="single" w:color="000000" w:sz="4" w:space="0"/>
              <w:left w:val="single" w:color="000000" w:sz="4" w:space="0"/>
              <w:bottom w:val="single" w:color="000000" w:sz="4" w:space="0"/>
              <w:right w:val="single" w:color="000000" w:sz="4" w:space="0"/>
            </w:tcBorders>
            <w:vAlign w:val="bottom"/>
          </w:tcPr>
          <w:p>
            <w:pPr>
              <w:widowControl/>
              <w:spacing w:line="36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占贷款总额比例（%）</w:t>
            </w:r>
          </w:p>
        </w:tc>
      </w:tr>
      <w:tr>
        <w:tblPrEx>
          <w:tblCellMar>
            <w:top w:w="15" w:type="dxa"/>
            <w:left w:w="15" w:type="dxa"/>
            <w:bottom w:w="15" w:type="dxa"/>
            <w:right w:w="15" w:type="dxa"/>
          </w:tblCellMar>
        </w:tblPrEx>
        <w:trPr>
          <w:trHeight w:val="504" w:hRule="atLeast"/>
        </w:trPr>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建筑业</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198913.97</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11.66</w:t>
            </w:r>
          </w:p>
        </w:tc>
      </w:tr>
      <w:tr>
        <w:tblPrEx>
          <w:tblCellMar>
            <w:top w:w="15" w:type="dxa"/>
            <w:left w:w="15" w:type="dxa"/>
            <w:bottom w:w="15" w:type="dxa"/>
            <w:right w:w="15" w:type="dxa"/>
          </w:tblCellMar>
        </w:tblPrEx>
        <w:trPr>
          <w:trHeight w:val="384" w:hRule="atLeast"/>
        </w:trPr>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批发和零售业</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140368.37</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8.23</w:t>
            </w:r>
          </w:p>
        </w:tc>
      </w:tr>
      <w:tr>
        <w:tblPrEx>
          <w:tblCellMar>
            <w:top w:w="15" w:type="dxa"/>
            <w:left w:w="15" w:type="dxa"/>
            <w:bottom w:w="15" w:type="dxa"/>
            <w:right w:w="15" w:type="dxa"/>
          </w:tblCellMar>
        </w:tblPrEx>
        <w:trPr>
          <w:trHeight w:val="392" w:hRule="atLeast"/>
        </w:trPr>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制造业</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138511.76</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8.12</w:t>
            </w:r>
          </w:p>
        </w:tc>
      </w:tr>
      <w:tr>
        <w:tblPrEx>
          <w:tblCellMar>
            <w:top w:w="15" w:type="dxa"/>
            <w:left w:w="15" w:type="dxa"/>
            <w:bottom w:w="15" w:type="dxa"/>
            <w:right w:w="15" w:type="dxa"/>
          </w:tblCellMar>
        </w:tblPrEx>
        <w:trPr>
          <w:trHeight w:val="528" w:hRule="atLeast"/>
        </w:trPr>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水利、环境和公共设施管理业</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仿宋" w:eastAsia="仿宋_GB2312" w:cs="Times New Roman"/>
                <w:color w:val="auto"/>
                <w:sz w:val="24"/>
                <w:szCs w:val="24"/>
                <w:highlight w:val="none"/>
                <w:lang w:val="en-US"/>
              </w:rPr>
            </w:pPr>
            <w:r>
              <w:rPr>
                <w:rFonts w:hint="eastAsia" w:ascii="仿宋_GB2312" w:hAnsi="仿宋" w:eastAsia="仿宋_GB2312" w:cs="Times New Roman"/>
                <w:color w:val="auto"/>
                <w:sz w:val="24"/>
                <w:szCs w:val="24"/>
                <w:highlight w:val="none"/>
                <w:lang w:val="en-US" w:eastAsia="zh-CN"/>
              </w:rPr>
              <w:t>100313.00</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仿宋" w:eastAsia="仿宋_GB2312" w:cs="Times New Roman"/>
                <w:color w:val="auto"/>
                <w:sz w:val="24"/>
                <w:szCs w:val="24"/>
                <w:highlight w:val="none"/>
                <w:lang w:val="en-US"/>
              </w:rPr>
            </w:pPr>
            <w:r>
              <w:rPr>
                <w:rFonts w:hint="eastAsia" w:ascii="仿宋_GB2312" w:hAnsi="仿宋" w:eastAsia="仿宋_GB2312" w:cs="Times New Roman"/>
                <w:color w:val="auto"/>
                <w:sz w:val="24"/>
                <w:szCs w:val="24"/>
                <w:highlight w:val="none"/>
                <w:lang w:val="en-US" w:eastAsia="zh-CN"/>
              </w:rPr>
              <w:t>5.88</w:t>
            </w:r>
          </w:p>
        </w:tc>
      </w:tr>
      <w:tr>
        <w:tblPrEx>
          <w:tblCellMar>
            <w:top w:w="15" w:type="dxa"/>
            <w:left w:w="15" w:type="dxa"/>
            <w:bottom w:w="15" w:type="dxa"/>
            <w:right w:w="15" w:type="dxa"/>
          </w:tblCellMar>
        </w:tblPrEx>
        <w:trPr>
          <w:trHeight w:val="545" w:hRule="atLeast"/>
        </w:trPr>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租赁和商务服务业</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71347.16</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4.18</w:t>
            </w:r>
          </w:p>
        </w:tc>
      </w:tr>
      <w:tr>
        <w:tblPrEx>
          <w:tblCellMar>
            <w:top w:w="15" w:type="dxa"/>
            <w:left w:w="15" w:type="dxa"/>
            <w:bottom w:w="15" w:type="dxa"/>
            <w:right w:w="15" w:type="dxa"/>
          </w:tblCellMar>
        </w:tblPrEx>
        <w:trPr>
          <w:trHeight w:val="371" w:hRule="atLeast"/>
        </w:trPr>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金融业</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仿宋_GB2312" w:hAnsi="仿宋" w:eastAsia="仿宋_GB2312" w:cs="Times New Roman"/>
                <w:color w:val="auto"/>
                <w:sz w:val="24"/>
                <w:szCs w:val="24"/>
                <w:highlight w:val="none"/>
                <w:lang w:val="en-US"/>
              </w:rPr>
            </w:pPr>
            <w:r>
              <w:rPr>
                <w:rFonts w:hint="eastAsia" w:ascii="仿宋_GB2312" w:hAnsi="仿宋" w:eastAsia="仿宋_GB2312" w:cs="Times New Roman"/>
                <w:color w:val="auto"/>
                <w:sz w:val="24"/>
                <w:szCs w:val="24"/>
                <w:highlight w:val="none"/>
                <w:lang w:val="en-US" w:eastAsia="zh-CN"/>
              </w:rPr>
              <w:t>30000.00</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1.76</w:t>
            </w:r>
          </w:p>
        </w:tc>
      </w:tr>
      <w:tr>
        <w:tblPrEx>
          <w:tblCellMar>
            <w:top w:w="15" w:type="dxa"/>
            <w:left w:w="15" w:type="dxa"/>
            <w:bottom w:w="15" w:type="dxa"/>
            <w:right w:w="15" w:type="dxa"/>
          </w:tblCellMar>
        </w:tblPrEx>
        <w:trPr>
          <w:trHeight w:val="371" w:hRule="atLeast"/>
        </w:trPr>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住宿和餐饮业</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28686.05</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1.68</w:t>
            </w:r>
          </w:p>
        </w:tc>
      </w:tr>
      <w:tr>
        <w:tblPrEx>
          <w:tblCellMar>
            <w:top w:w="15" w:type="dxa"/>
            <w:left w:w="15" w:type="dxa"/>
            <w:bottom w:w="15" w:type="dxa"/>
            <w:right w:w="15" w:type="dxa"/>
          </w:tblCellMar>
        </w:tblPrEx>
        <w:trPr>
          <w:trHeight w:val="371" w:hRule="atLeast"/>
        </w:trPr>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房地产业</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23737.42</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1.39</w:t>
            </w:r>
          </w:p>
        </w:tc>
      </w:tr>
      <w:tr>
        <w:tblPrEx>
          <w:tblCellMar>
            <w:top w:w="15" w:type="dxa"/>
            <w:left w:w="15" w:type="dxa"/>
            <w:bottom w:w="15" w:type="dxa"/>
            <w:right w:w="15" w:type="dxa"/>
          </w:tblCellMar>
        </w:tblPrEx>
        <w:trPr>
          <w:trHeight w:val="371" w:hRule="atLeast"/>
        </w:trPr>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卫生和社会工作</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17214.84</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1.01</w:t>
            </w:r>
          </w:p>
        </w:tc>
      </w:tr>
      <w:tr>
        <w:tblPrEx>
          <w:tblCellMar>
            <w:top w:w="15" w:type="dxa"/>
            <w:left w:w="15" w:type="dxa"/>
            <w:bottom w:w="15" w:type="dxa"/>
            <w:right w:w="15" w:type="dxa"/>
          </w:tblCellMar>
        </w:tblPrEx>
        <w:trPr>
          <w:trHeight w:val="371" w:hRule="atLeast"/>
        </w:trPr>
        <w:tc>
          <w:tcPr>
            <w:tcW w:w="3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农、林、牧、渔业</w:t>
            </w:r>
          </w:p>
        </w:tc>
        <w:tc>
          <w:tcPr>
            <w:tcW w:w="282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16715.64</w:t>
            </w:r>
          </w:p>
        </w:tc>
        <w:tc>
          <w:tcPr>
            <w:tcW w:w="30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0.98</w:t>
            </w:r>
          </w:p>
        </w:tc>
      </w:tr>
    </w:tbl>
    <w:p>
      <w:pPr>
        <w:tabs>
          <w:tab w:val="left" w:pos="630"/>
        </w:tabs>
        <w:spacing w:line="5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 xml:space="preserve">.3  最大十户贷款        </w:t>
      </w:r>
    </w:p>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 xml:space="preserve">                                                            单位：万元、%</w:t>
      </w:r>
    </w:p>
    <w:tbl>
      <w:tblPr>
        <w:tblStyle w:val="9"/>
        <w:tblW w:w="9153" w:type="dxa"/>
        <w:tblInd w:w="-155" w:type="dxa"/>
        <w:tblLayout w:type="fixed"/>
        <w:tblCellMar>
          <w:top w:w="15" w:type="dxa"/>
          <w:left w:w="15" w:type="dxa"/>
          <w:bottom w:w="15" w:type="dxa"/>
          <w:right w:w="15" w:type="dxa"/>
        </w:tblCellMar>
      </w:tblPr>
      <w:tblGrid>
        <w:gridCol w:w="851"/>
        <w:gridCol w:w="4087"/>
        <w:gridCol w:w="2220"/>
        <w:gridCol w:w="1995"/>
      </w:tblGrid>
      <w:tr>
        <w:tblPrEx>
          <w:tblCellMar>
            <w:top w:w="15" w:type="dxa"/>
            <w:left w:w="15" w:type="dxa"/>
            <w:bottom w:w="15" w:type="dxa"/>
            <w:right w:w="15" w:type="dxa"/>
          </w:tblCellMar>
        </w:tblPrEx>
        <w:trPr>
          <w:trHeight w:val="586"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序号</w:t>
            </w:r>
          </w:p>
        </w:tc>
        <w:tc>
          <w:tcPr>
            <w:tcW w:w="4087"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客户名称</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202</w:t>
            </w:r>
            <w:r>
              <w:rPr>
                <w:rFonts w:hint="eastAsia" w:ascii="仿宋_GB2312" w:hAnsi="仿宋" w:eastAsia="仿宋_GB2312"/>
                <w:color w:val="auto"/>
                <w:sz w:val="24"/>
                <w:szCs w:val="24"/>
                <w:highlight w:val="none"/>
                <w:lang w:val="en-US" w:eastAsia="zh-CN"/>
              </w:rPr>
              <w:t>4</w:t>
            </w:r>
            <w:r>
              <w:rPr>
                <w:rFonts w:hint="eastAsia" w:ascii="仿宋_GB2312" w:hAnsi="仿宋" w:eastAsia="仿宋_GB2312"/>
                <w:color w:val="auto"/>
                <w:sz w:val="24"/>
                <w:szCs w:val="24"/>
                <w:highlight w:val="none"/>
              </w:rPr>
              <w:t>年末贷款余额</w:t>
            </w:r>
          </w:p>
        </w:tc>
        <w:tc>
          <w:tcPr>
            <w:tcW w:w="1995"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所占比例（%）</w:t>
            </w:r>
          </w:p>
        </w:tc>
      </w:tr>
      <w:tr>
        <w:tblPrEx>
          <w:tblCellMar>
            <w:top w:w="15" w:type="dxa"/>
            <w:left w:w="15" w:type="dxa"/>
            <w:bottom w:w="15" w:type="dxa"/>
            <w:right w:w="15" w:type="dxa"/>
          </w:tblCellMar>
        </w:tblPrEx>
        <w:trPr>
          <w:trHeight w:val="567"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w:t>
            </w:r>
          </w:p>
        </w:tc>
        <w:tc>
          <w:tcPr>
            <w:tcW w:w="4087"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萍乡市海新建筑有限公司</w:t>
            </w:r>
          </w:p>
        </w:tc>
        <w:tc>
          <w:tcPr>
            <w:tcW w:w="2220"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11895.00</w:t>
            </w: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 xml:space="preserve">0.70 </w:t>
            </w:r>
          </w:p>
        </w:tc>
      </w:tr>
      <w:tr>
        <w:tblPrEx>
          <w:tblCellMar>
            <w:top w:w="15" w:type="dxa"/>
            <w:left w:w="15" w:type="dxa"/>
            <w:bottom w:w="15" w:type="dxa"/>
            <w:right w:w="15" w:type="dxa"/>
          </w:tblCellMar>
        </w:tblPrEx>
        <w:trPr>
          <w:trHeight w:val="562"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w:t>
            </w:r>
          </w:p>
        </w:tc>
        <w:tc>
          <w:tcPr>
            <w:tcW w:w="4087"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萍乡市汇隆实业有限公司</w:t>
            </w:r>
          </w:p>
        </w:tc>
        <w:tc>
          <w:tcPr>
            <w:tcW w:w="2220"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11895.00</w:t>
            </w: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 xml:space="preserve">0.70 </w:t>
            </w:r>
          </w:p>
        </w:tc>
      </w:tr>
      <w:tr>
        <w:tblPrEx>
          <w:tblCellMar>
            <w:top w:w="15" w:type="dxa"/>
            <w:left w:w="15" w:type="dxa"/>
            <w:bottom w:w="15" w:type="dxa"/>
            <w:right w:w="15" w:type="dxa"/>
          </w:tblCellMar>
        </w:tblPrEx>
        <w:trPr>
          <w:trHeight w:val="555"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w:t>
            </w:r>
          </w:p>
        </w:tc>
        <w:tc>
          <w:tcPr>
            <w:tcW w:w="4087"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萍乡市汇清科技投资有限公司</w:t>
            </w:r>
          </w:p>
        </w:tc>
        <w:tc>
          <w:tcPr>
            <w:tcW w:w="2220"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11895.00</w:t>
            </w: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 xml:space="preserve">0.70 </w:t>
            </w:r>
          </w:p>
        </w:tc>
      </w:tr>
      <w:tr>
        <w:tblPrEx>
          <w:tblCellMar>
            <w:top w:w="15" w:type="dxa"/>
            <w:left w:w="15" w:type="dxa"/>
            <w:bottom w:w="15" w:type="dxa"/>
            <w:right w:w="15" w:type="dxa"/>
          </w:tblCellMar>
        </w:tblPrEx>
        <w:trPr>
          <w:trHeight w:val="5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w:t>
            </w:r>
          </w:p>
        </w:tc>
        <w:tc>
          <w:tcPr>
            <w:tcW w:w="4087"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萍乡市云霁建设发展有限公司</w:t>
            </w:r>
          </w:p>
        </w:tc>
        <w:tc>
          <w:tcPr>
            <w:tcW w:w="2220"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11895.00</w:t>
            </w: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 xml:space="preserve">0.70 </w:t>
            </w:r>
          </w:p>
        </w:tc>
      </w:tr>
      <w:tr>
        <w:tblPrEx>
          <w:tblCellMar>
            <w:top w:w="15" w:type="dxa"/>
            <w:left w:w="15" w:type="dxa"/>
            <w:bottom w:w="15" w:type="dxa"/>
            <w:right w:w="15" w:type="dxa"/>
          </w:tblCellMar>
        </w:tblPrEx>
        <w:trPr>
          <w:trHeight w:val="536"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w:t>
            </w:r>
          </w:p>
        </w:tc>
        <w:tc>
          <w:tcPr>
            <w:tcW w:w="4087"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江西汇恒置业有限公司</w:t>
            </w:r>
          </w:p>
        </w:tc>
        <w:tc>
          <w:tcPr>
            <w:tcW w:w="2220"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11895.00</w:t>
            </w: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 xml:space="preserve">0.70 </w:t>
            </w:r>
          </w:p>
        </w:tc>
      </w:tr>
      <w:tr>
        <w:tblPrEx>
          <w:tblCellMar>
            <w:top w:w="15" w:type="dxa"/>
            <w:left w:w="15" w:type="dxa"/>
            <w:bottom w:w="15" w:type="dxa"/>
            <w:right w:w="15" w:type="dxa"/>
          </w:tblCellMar>
        </w:tblPrEx>
        <w:trPr>
          <w:trHeight w:val="546"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6</w:t>
            </w:r>
          </w:p>
        </w:tc>
        <w:tc>
          <w:tcPr>
            <w:tcW w:w="4087"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江西萍实旅游发展有限公司</w:t>
            </w:r>
          </w:p>
        </w:tc>
        <w:tc>
          <w:tcPr>
            <w:tcW w:w="2220"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11890.00</w:t>
            </w: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 xml:space="preserve">0.70 </w:t>
            </w:r>
          </w:p>
        </w:tc>
      </w:tr>
      <w:tr>
        <w:tblPrEx>
          <w:tblCellMar>
            <w:top w:w="15" w:type="dxa"/>
            <w:left w:w="15" w:type="dxa"/>
            <w:bottom w:w="15" w:type="dxa"/>
            <w:right w:w="15" w:type="dxa"/>
          </w:tblCellMar>
        </w:tblPrEx>
        <w:trPr>
          <w:trHeight w:val="529"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7</w:t>
            </w:r>
          </w:p>
        </w:tc>
        <w:tc>
          <w:tcPr>
            <w:tcW w:w="4087"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萍乡市汇茂建材贸易有限公司</w:t>
            </w:r>
          </w:p>
        </w:tc>
        <w:tc>
          <w:tcPr>
            <w:tcW w:w="2220"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11800.00</w:t>
            </w: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 xml:space="preserve">0.69 </w:t>
            </w:r>
          </w:p>
        </w:tc>
      </w:tr>
      <w:tr>
        <w:tblPrEx>
          <w:tblCellMar>
            <w:top w:w="15" w:type="dxa"/>
            <w:left w:w="15" w:type="dxa"/>
            <w:bottom w:w="15" w:type="dxa"/>
            <w:right w:w="15"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8</w:t>
            </w:r>
          </w:p>
        </w:tc>
        <w:tc>
          <w:tcPr>
            <w:tcW w:w="4087"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萍乡创新发展投资集团有限公司</w:t>
            </w:r>
          </w:p>
        </w:tc>
        <w:tc>
          <w:tcPr>
            <w:tcW w:w="2220"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11690.00</w:t>
            </w: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 xml:space="preserve">0.69 </w:t>
            </w:r>
          </w:p>
        </w:tc>
      </w:tr>
      <w:tr>
        <w:tblPrEx>
          <w:tblCellMar>
            <w:top w:w="15" w:type="dxa"/>
            <w:left w:w="15" w:type="dxa"/>
            <w:bottom w:w="15" w:type="dxa"/>
            <w:right w:w="15" w:type="dxa"/>
          </w:tblCellMar>
        </w:tblPrEx>
        <w:trPr>
          <w:trHeight w:val="53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9</w:t>
            </w:r>
          </w:p>
        </w:tc>
        <w:tc>
          <w:tcPr>
            <w:tcW w:w="4087"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江西省汇颐康贸易有限公司</w:t>
            </w:r>
          </w:p>
        </w:tc>
        <w:tc>
          <w:tcPr>
            <w:tcW w:w="2220"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11500.00</w:t>
            </w: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 xml:space="preserve">0.67 </w:t>
            </w:r>
          </w:p>
        </w:tc>
      </w:tr>
      <w:tr>
        <w:tblPrEx>
          <w:tblCellMar>
            <w:top w:w="15" w:type="dxa"/>
            <w:left w:w="15" w:type="dxa"/>
            <w:bottom w:w="15" w:type="dxa"/>
            <w:right w:w="15" w:type="dxa"/>
          </w:tblCellMar>
        </w:tblPrEx>
        <w:trPr>
          <w:trHeight w:val="51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10</w:t>
            </w:r>
          </w:p>
        </w:tc>
        <w:tc>
          <w:tcPr>
            <w:tcW w:w="4087"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萍乡市卫健中医药科技发展有限公司</w:t>
            </w:r>
          </w:p>
        </w:tc>
        <w:tc>
          <w:tcPr>
            <w:tcW w:w="2220"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11200.00</w:t>
            </w:r>
          </w:p>
        </w:tc>
        <w:tc>
          <w:tcPr>
            <w:tcW w:w="1995" w:type="dxa"/>
            <w:tcBorders>
              <w:top w:val="single" w:color="000000" w:sz="4" w:space="0"/>
              <w:left w:val="single" w:color="000000" w:sz="4" w:space="0"/>
              <w:bottom w:val="single" w:color="000000" w:sz="4" w:space="0"/>
              <w:right w:val="single" w:color="000000"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 xml:space="preserve">0.66 </w:t>
            </w:r>
          </w:p>
        </w:tc>
      </w:tr>
    </w:tbl>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 xml:space="preserve">.4  贷款风险分类和不良贷款情况    </w:t>
      </w:r>
      <w:r>
        <w:rPr>
          <w:rFonts w:hint="eastAsia" w:ascii="仿宋_GB2312" w:hAnsi="仿宋" w:eastAsia="仿宋_GB2312"/>
          <w:color w:val="auto"/>
          <w:sz w:val="30"/>
          <w:szCs w:val="30"/>
          <w:highlight w:val="none"/>
        </w:rPr>
        <w:t xml:space="preserve"> </w:t>
      </w:r>
      <w:r>
        <w:rPr>
          <w:rFonts w:hint="eastAsia" w:ascii="仿宋_GB2312" w:hAnsi="仿宋" w:eastAsia="仿宋_GB2312"/>
          <w:color w:val="auto"/>
          <w:sz w:val="32"/>
          <w:szCs w:val="32"/>
          <w:highlight w:val="none"/>
        </w:rPr>
        <w:t xml:space="preserve">     </w:t>
      </w:r>
    </w:p>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 xml:space="preserve">                                                     单位：万元、%</w:t>
      </w:r>
    </w:p>
    <w:tbl>
      <w:tblPr>
        <w:tblStyle w:val="9"/>
        <w:tblW w:w="9015" w:type="dxa"/>
        <w:tblInd w:w="108" w:type="dxa"/>
        <w:tblLayout w:type="fixed"/>
        <w:tblCellMar>
          <w:top w:w="0" w:type="dxa"/>
          <w:left w:w="108" w:type="dxa"/>
          <w:bottom w:w="0" w:type="dxa"/>
          <w:right w:w="108" w:type="dxa"/>
        </w:tblCellMar>
      </w:tblPr>
      <w:tblGrid>
        <w:gridCol w:w="2344"/>
        <w:gridCol w:w="3606"/>
        <w:gridCol w:w="3065"/>
      </w:tblGrid>
      <w:tr>
        <w:tblPrEx>
          <w:tblCellMar>
            <w:top w:w="0" w:type="dxa"/>
            <w:left w:w="108" w:type="dxa"/>
            <w:bottom w:w="0" w:type="dxa"/>
            <w:right w:w="108" w:type="dxa"/>
          </w:tblCellMar>
        </w:tblPrEx>
        <w:trPr>
          <w:trHeight w:val="567" w:hRule="atLeast"/>
        </w:trPr>
        <w:tc>
          <w:tcPr>
            <w:tcW w:w="2344" w:type="dxa"/>
            <w:tcBorders>
              <w:top w:val="single" w:color="auto" w:sz="4" w:space="0"/>
              <w:left w:val="single" w:color="auto" w:sz="4" w:space="0"/>
              <w:bottom w:val="single" w:color="auto" w:sz="4" w:space="0"/>
              <w:right w:val="single" w:color="auto" w:sz="4" w:space="0"/>
            </w:tcBorders>
            <w:vAlign w:val="bottom"/>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项目</w:t>
            </w:r>
          </w:p>
        </w:tc>
        <w:tc>
          <w:tcPr>
            <w:tcW w:w="3606" w:type="dxa"/>
            <w:tcBorders>
              <w:top w:val="single" w:color="auto" w:sz="4" w:space="0"/>
              <w:left w:val="nil"/>
              <w:bottom w:val="single" w:color="auto" w:sz="4" w:space="0"/>
              <w:right w:val="single" w:color="auto" w:sz="4" w:space="0"/>
            </w:tcBorders>
            <w:vAlign w:val="bottom"/>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202</w:t>
            </w:r>
            <w:r>
              <w:rPr>
                <w:rFonts w:hint="eastAsia" w:ascii="仿宋_GB2312" w:hAnsi="仿宋" w:eastAsia="仿宋_GB2312"/>
                <w:color w:val="auto"/>
                <w:sz w:val="24"/>
                <w:szCs w:val="24"/>
                <w:highlight w:val="none"/>
                <w:lang w:val="en-US" w:eastAsia="zh-CN"/>
              </w:rPr>
              <w:t>4</w:t>
            </w:r>
            <w:r>
              <w:rPr>
                <w:rFonts w:hint="eastAsia" w:ascii="仿宋_GB2312" w:hAnsi="仿宋" w:eastAsia="仿宋_GB2312"/>
                <w:color w:val="auto"/>
                <w:sz w:val="24"/>
                <w:szCs w:val="24"/>
                <w:highlight w:val="none"/>
              </w:rPr>
              <w:t>年末余额</w:t>
            </w:r>
          </w:p>
        </w:tc>
        <w:tc>
          <w:tcPr>
            <w:tcW w:w="3065" w:type="dxa"/>
            <w:tcBorders>
              <w:top w:val="single" w:color="auto" w:sz="4" w:space="0"/>
              <w:left w:val="nil"/>
              <w:bottom w:val="single" w:color="auto" w:sz="4" w:space="0"/>
              <w:right w:val="single" w:color="auto" w:sz="4" w:space="0"/>
            </w:tcBorders>
            <w:vAlign w:val="bottom"/>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占比</w:t>
            </w:r>
          </w:p>
        </w:tc>
      </w:tr>
      <w:tr>
        <w:tblPrEx>
          <w:tblCellMar>
            <w:top w:w="0" w:type="dxa"/>
            <w:left w:w="108" w:type="dxa"/>
            <w:bottom w:w="0" w:type="dxa"/>
            <w:right w:w="108" w:type="dxa"/>
          </w:tblCellMar>
        </w:tblPrEx>
        <w:trPr>
          <w:trHeight w:val="466" w:hRule="atLeast"/>
        </w:trPr>
        <w:tc>
          <w:tcPr>
            <w:tcW w:w="2344" w:type="dxa"/>
            <w:tcBorders>
              <w:top w:val="single" w:color="auto" w:sz="4" w:space="0"/>
              <w:left w:val="single" w:color="auto" w:sz="4" w:space="0"/>
              <w:bottom w:val="single" w:color="auto" w:sz="4" w:space="0"/>
              <w:right w:val="single" w:color="auto" w:sz="4" w:space="0"/>
            </w:tcBorders>
            <w:vAlign w:val="bottom"/>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正常</w:t>
            </w:r>
          </w:p>
        </w:tc>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 xml:space="preserve">1574959.10 </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default" w:ascii="仿宋_GB2312" w:hAnsi="仿宋" w:eastAsia="仿宋_GB2312" w:cs="Times New Roman"/>
                <w:color w:val="auto"/>
                <w:sz w:val="24"/>
                <w:szCs w:val="24"/>
                <w:highlight w:val="none"/>
                <w:lang w:val="en-US"/>
              </w:rPr>
            </w:pPr>
            <w:r>
              <w:rPr>
                <w:rFonts w:hint="eastAsia" w:ascii="仿宋_GB2312" w:hAnsi="仿宋" w:eastAsia="仿宋_GB2312" w:cs="Times New Roman"/>
                <w:color w:val="auto"/>
                <w:sz w:val="24"/>
                <w:szCs w:val="24"/>
                <w:highlight w:val="none"/>
                <w:lang w:val="en-US" w:eastAsia="zh-CN"/>
              </w:rPr>
              <w:t>92.30</w:t>
            </w:r>
          </w:p>
        </w:tc>
      </w:tr>
      <w:tr>
        <w:tblPrEx>
          <w:tblCellMar>
            <w:top w:w="0" w:type="dxa"/>
            <w:left w:w="108" w:type="dxa"/>
            <w:bottom w:w="0" w:type="dxa"/>
            <w:right w:w="108" w:type="dxa"/>
          </w:tblCellMar>
        </w:tblPrEx>
        <w:trPr>
          <w:trHeight w:val="466" w:hRule="atLeast"/>
        </w:trPr>
        <w:tc>
          <w:tcPr>
            <w:tcW w:w="2344" w:type="dxa"/>
            <w:tcBorders>
              <w:top w:val="single" w:color="auto" w:sz="4" w:space="0"/>
              <w:left w:val="single" w:color="auto" w:sz="4" w:space="0"/>
              <w:bottom w:val="single" w:color="auto" w:sz="4" w:space="0"/>
              <w:right w:val="single" w:color="auto" w:sz="4" w:space="0"/>
            </w:tcBorders>
            <w:vAlign w:val="bottom"/>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关注</w:t>
            </w:r>
          </w:p>
        </w:tc>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 xml:space="preserve">65394.40 </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3.83</w:t>
            </w:r>
          </w:p>
        </w:tc>
      </w:tr>
      <w:tr>
        <w:tblPrEx>
          <w:tblCellMar>
            <w:top w:w="0" w:type="dxa"/>
            <w:left w:w="108" w:type="dxa"/>
            <w:bottom w:w="0" w:type="dxa"/>
            <w:right w:w="108" w:type="dxa"/>
          </w:tblCellMar>
        </w:tblPrEx>
        <w:trPr>
          <w:trHeight w:val="466" w:hRule="atLeast"/>
        </w:trPr>
        <w:tc>
          <w:tcPr>
            <w:tcW w:w="2344" w:type="dxa"/>
            <w:tcBorders>
              <w:top w:val="single" w:color="auto" w:sz="4" w:space="0"/>
              <w:left w:val="single" w:color="auto" w:sz="4" w:space="0"/>
              <w:bottom w:val="single" w:color="auto" w:sz="4" w:space="0"/>
              <w:right w:val="single" w:color="auto" w:sz="4" w:space="0"/>
            </w:tcBorders>
            <w:vAlign w:val="bottom"/>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次级</w:t>
            </w:r>
          </w:p>
        </w:tc>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 xml:space="preserve">18237.41 </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1.07</w:t>
            </w:r>
          </w:p>
        </w:tc>
      </w:tr>
      <w:tr>
        <w:tblPrEx>
          <w:tblCellMar>
            <w:top w:w="0" w:type="dxa"/>
            <w:left w:w="108" w:type="dxa"/>
            <w:bottom w:w="0" w:type="dxa"/>
            <w:right w:w="108" w:type="dxa"/>
          </w:tblCellMar>
        </w:tblPrEx>
        <w:trPr>
          <w:trHeight w:val="466" w:hRule="atLeast"/>
        </w:trPr>
        <w:tc>
          <w:tcPr>
            <w:tcW w:w="2344" w:type="dxa"/>
            <w:tcBorders>
              <w:top w:val="single" w:color="auto" w:sz="4" w:space="0"/>
              <w:left w:val="single" w:color="auto" w:sz="4" w:space="0"/>
              <w:bottom w:val="single" w:color="auto" w:sz="4" w:space="0"/>
              <w:right w:val="single" w:color="auto" w:sz="4" w:space="0"/>
            </w:tcBorders>
            <w:vAlign w:val="bottom"/>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可疑</w:t>
            </w:r>
          </w:p>
        </w:tc>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 xml:space="preserve">44550.59 </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2.61</w:t>
            </w:r>
          </w:p>
        </w:tc>
      </w:tr>
      <w:tr>
        <w:tblPrEx>
          <w:tblCellMar>
            <w:top w:w="0" w:type="dxa"/>
            <w:left w:w="108" w:type="dxa"/>
            <w:bottom w:w="0" w:type="dxa"/>
            <w:right w:w="108" w:type="dxa"/>
          </w:tblCellMar>
        </w:tblPrEx>
        <w:trPr>
          <w:trHeight w:val="466" w:hRule="atLeast"/>
        </w:trPr>
        <w:tc>
          <w:tcPr>
            <w:tcW w:w="2344" w:type="dxa"/>
            <w:tcBorders>
              <w:top w:val="single" w:color="auto" w:sz="4" w:space="0"/>
              <w:left w:val="single" w:color="auto" w:sz="4" w:space="0"/>
              <w:bottom w:val="single" w:color="auto" w:sz="4" w:space="0"/>
              <w:right w:val="single" w:color="auto" w:sz="4" w:space="0"/>
            </w:tcBorders>
            <w:vAlign w:val="bottom"/>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损失</w:t>
            </w:r>
          </w:p>
        </w:tc>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 xml:space="preserve">3256.30 </w:t>
            </w:r>
          </w:p>
        </w:tc>
        <w:tc>
          <w:tcPr>
            <w:tcW w:w="306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lang w:val="en-US" w:eastAsia="zh-CN"/>
              </w:rPr>
              <w:t>0.19</w:t>
            </w:r>
          </w:p>
        </w:tc>
      </w:tr>
      <w:tr>
        <w:tblPrEx>
          <w:tblCellMar>
            <w:top w:w="0" w:type="dxa"/>
            <w:left w:w="108" w:type="dxa"/>
            <w:bottom w:w="0" w:type="dxa"/>
            <w:right w:w="108" w:type="dxa"/>
          </w:tblCellMar>
        </w:tblPrEx>
        <w:trPr>
          <w:trHeight w:val="466" w:hRule="atLeast"/>
        </w:trPr>
        <w:tc>
          <w:tcPr>
            <w:tcW w:w="2344" w:type="dxa"/>
            <w:tcBorders>
              <w:top w:val="single" w:color="auto" w:sz="4" w:space="0"/>
              <w:left w:val="single" w:color="auto" w:sz="4" w:space="0"/>
              <w:bottom w:val="single" w:color="auto" w:sz="4" w:space="0"/>
              <w:right w:val="single" w:color="auto" w:sz="4" w:space="0"/>
            </w:tcBorders>
            <w:vAlign w:val="bottom"/>
          </w:tcPr>
          <w:p>
            <w:pPr>
              <w:widowControl/>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贷款合计</w:t>
            </w:r>
          </w:p>
        </w:tc>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 xml:space="preserve">1706397.80 </w:t>
            </w:r>
          </w:p>
        </w:tc>
        <w:tc>
          <w:tcPr>
            <w:tcW w:w="3065" w:type="dxa"/>
            <w:tcBorders>
              <w:top w:val="single" w:color="auto" w:sz="4" w:space="0"/>
              <w:left w:val="single" w:color="auto" w:sz="4" w:space="0"/>
              <w:bottom w:val="single" w:color="auto" w:sz="4" w:space="0"/>
              <w:right w:val="single" w:color="auto" w:sz="4" w:space="0"/>
            </w:tcBorders>
            <w:vAlign w:val="bottom"/>
          </w:tcPr>
          <w:p>
            <w:pPr>
              <w:widowControl/>
              <w:spacing w:line="540" w:lineRule="exact"/>
              <w:jc w:val="center"/>
              <w:rPr>
                <w:rFonts w:hint="eastAsia" w:ascii="仿宋_GB2312" w:hAnsi="仿宋" w:eastAsia="仿宋_GB2312" w:cs="Times New Roman"/>
                <w:color w:val="auto"/>
                <w:sz w:val="24"/>
                <w:szCs w:val="24"/>
                <w:highlight w:val="none"/>
              </w:rPr>
            </w:pPr>
            <w:r>
              <w:rPr>
                <w:rFonts w:hint="eastAsia" w:ascii="仿宋_GB2312" w:hAnsi="仿宋" w:eastAsia="仿宋_GB2312" w:cs="Times New Roman"/>
                <w:color w:val="auto"/>
                <w:sz w:val="24"/>
                <w:szCs w:val="24"/>
                <w:highlight w:val="none"/>
              </w:rPr>
              <w:t>100.00</w:t>
            </w:r>
          </w:p>
        </w:tc>
      </w:tr>
    </w:tbl>
    <w:p>
      <w:pPr>
        <w:tabs>
          <w:tab w:val="left" w:pos="630"/>
        </w:tabs>
        <w:spacing w:line="540" w:lineRule="exact"/>
        <w:ind w:firstLine="640" w:firstLineChars="200"/>
        <w:rPr>
          <w:rFonts w:hint="eastAsia" w:ascii="仿宋_GB2312" w:hAnsi="仿宋" w:eastAsia="仿宋"/>
          <w:color w:val="auto"/>
          <w:sz w:val="32"/>
          <w:szCs w:val="32"/>
          <w:highlight w:val="none"/>
        </w:rPr>
      </w:pP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.5  贷款损失准备情况</w:t>
      </w:r>
      <w:r>
        <w:rPr>
          <w:rFonts w:hint="eastAsia" w:ascii="仿宋" w:hAnsi="仿宋" w:eastAsia="仿宋"/>
          <w:b/>
          <w:color w:val="auto"/>
          <w:sz w:val="32"/>
          <w:szCs w:val="32"/>
          <w:highlight w:val="none"/>
        </w:rPr>
        <w:t xml:space="preserve"> </w:t>
      </w:r>
      <w:r>
        <w:rPr>
          <w:rFonts w:hint="eastAsia" w:ascii="仿宋" w:hAnsi="仿宋" w:eastAsia="仿宋"/>
          <w:color w:val="auto"/>
          <w:sz w:val="30"/>
          <w:szCs w:val="30"/>
          <w:highlight w:val="none"/>
        </w:rPr>
        <w:t xml:space="preserve"> </w:t>
      </w:r>
      <w:r>
        <w:rPr>
          <w:rFonts w:hint="eastAsia" w:ascii="仿宋" w:hAnsi="仿宋" w:eastAsia="仿宋"/>
          <w:color w:val="auto"/>
          <w:sz w:val="32"/>
          <w:szCs w:val="32"/>
          <w:highlight w:val="none"/>
        </w:rPr>
        <w:t xml:space="preserve"> </w:t>
      </w:r>
    </w:p>
    <w:p>
      <w:pPr>
        <w:widowControl/>
        <w:spacing w:line="540" w:lineRule="exact"/>
        <w:rPr>
          <w:rFonts w:hint="eastAsia" w:ascii="仿宋_GB2312" w:hAnsi="仿宋" w:eastAsia="仿宋_GB2312" w:cs="宋体"/>
          <w:color w:val="auto"/>
          <w:kern w:val="0"/>
          <w:sz w:val="24"/>
          <w:highlight w:val="none"/>
        </w:rPr>
      </w:pPr>
      <w:r>
        <w:rPr>
          <w:rFonts w:hint="eastAsia" w:ascii="仿宋" w:hAnsi="仿宋" w:eastAsia="仿宋" w:cs="宋体"/>
          <w:color w:val="auto"/>
          <w:kern w:val="0"/>
          <w:sz w:val="24"/>
          <w:highlight w:val="none"/>
        </w:rPr>
        <w:t xml:space="preserve">                                                             </w:t>
      </w:r>
      <w:r>
        <w:rPr>
          <w:rFonts w:hint="eastAsia" w:ascii="仿宋_GB2312" w:hAnsi="仿宋" w:eastAsia="仿宋_GB2312" w:cs="宋体"/>
          <w:color w:val="auto"/>
          <w:kern w:val="0"/>
          <w:sz w:val="24"/>
          <w:highlight w:val="none"/>
        </w:rPr>
        <w:t xml:space="preserve">   单位：万元</w:t>
      </w:r>
    </w:p>
    <w:tbl>
      <w:tblPr>
        <w:tblStyle w:val="9"/>
        <w:tblW w:w="8952" w:type="dxa"/>
        <w:tblInd w:w="108" w:type="dxa"/>
        <w:tblLayout w:type="fixed"/>
        <w:tblCellMar>
          <w:top w:w="0" w:type="dxa"/>
          <w:left w:w="108" w:type="dxa"/>
          <w:bottom w:w="0" w:type="dxa"/>
          <w:right w:w="108" w:type="dxa"/>
        </w:tblCellMar>
      </w:tblPr>
      <w:tblGrid>
        <w:gridCol w:w="2685"/>
        <w:gridCol w:w="1791"/>
        <w:gridCol w:w="1791"/>
        <w:gridCol w:w="2685"/>
      </w:tblGrid>
      <w:tr>
        <w:tblPrEx>
          <w:tblCellMar>
            <w:top w:w="0" w:type="dxa"/>
            <w:left w:w="108" w:type="dxa"/>
            <w:bottom w:w="0" w:type="dxa"/>
            <w:right w:w="108" w:type="dxa"/>
          </w:tblCellMar>
        </w:tblPrEx>
        <w:trPr>
          <w:trHeight w:val="487" w:hRule="atLeast"/>
        </w:trPr>
        <w:tc>
          <w:tcPr>
            <w:tcW w:w="26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项目</w:t>
            </w:r>
          </w:p>
        </w:tc>
        <w:tc>
          <w:tcPr>
            <w:tcW w:w="1791"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2023年末数</w:t>
            </w:r>
          </w:p>
        </w:tc>
        <w:tc>
          <w:tcPr>
            <w:tcW w:w="1791"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2024年新增数</w:t>
            </w:r>
          </w:p>
        </w:tc>
        <w:tc>
          <w:tcPr>
            <w:tcW w:w="2685"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2024年末数</w:t>
            </w:r>
          </w:p>
        </w:tc>
      </w:tr>
      <w:tr>
        <w:tblPrEx>
          <w:tblCellMar>
            <w:top w:w="0" w:type="dxa"/>
            <w:left w:w="108" w:type="dxa"/>
            <w:bottom w:w="0" w:type="dxa"/>
            <w:right w:w="108" w:type="dxa"/>
          </w:tblCellMar>
        </w:tblPrEx>
        <w:trPr>
          <w:trHeight w:val="451" w:hRule="atLeast"/>
        </w:trPr>
        <w:tc>
          <w:tcPr>
            <w:tcW w:w="2685" w:type="dxa"/>
            <w:tcBorders>
              <w:top w:val="nil"/>
              <w:left w:val="single" w:color="auto" w:sz="8" w:space="0"/>
              <w:bottom w:val="single" w:color="000000" w:sz="8" w:space="0"/>
              <w:right w:val="single" w:color="auto" w:sz="8"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贷款损失准备</w:t>
            </w:r>
          </w:p>
        </w:tc>
        <w:tc>
          <w:tcPr>
            <w:tcW w:w="1791" w:type="dxa"/>
            <w:tcBorders>
              <w:top w:val="nil"/>
              <w:left w:val="single" w:color="auto" w:sz="8" w:space="0"/>
              <w:bottom w:val="single" w:color="000000" w:sz="8" w:space="0"/>
              <w:right w:val="single" w:color="auto" w:sz="8"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85,250.71</w:t>
            </w:r>
          </w:p>
        </w:tc>
        <w:tc>
          <w:tcPr>
            <w:tcW w:w="1791" w:type="dxa"/>
            <w:tcBorders>
              <w:top w:val="nil"/>
              <w:left w:val="single" w:color="auto" w:sz="8" w:space="0"/>
              <w:bottom w:val="single" w:color="000000" w:sz="8" w:space="0"/>
              <w:right w:val="single" w:color="auto" w:sz="8"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-9,241.91</w:t>
            </w:r>
          </w:p>
        </w:tc>
        <w:tc>
          <w:tcPr>
            <w:tcW w:w="2685" w:type="dxa"/>
            <w:tcBorders>
              <w:top w:val="nil"/>
              <w:left w:val="single" w:color="auto" w:sz="8" w:space="0"/>
              <w:bottom w:val="single" w:color="000000" w:sz="8" w:space="0"/>
              <w:right w:val="single" w:color="auto" w:sz="8"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lang w:val="en-US" w:eastAsia="zh-CN"/>
              </w:rPr>
              <w:t>76,008.80</w:t>
            </w:r>
          </w:p>
        </w:tc>
      </w:tr>
    </w:tbl>
    <w:p>
      <w:pPr>
        <w:tabs>
          <w:tab w:val="left" w:pos="630"/>
        </w:tabs>
        <w:spacing w:line="5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金融投资情况</w:t>
      </w:r>
    </w:p>
    <w:p>
      <w:pPr>
        <w:widowControl/>
        <w:spacing w:line="460" w:lineRule="exact"/>
        <w:jc w:val="right"/>
        <w:rPr>
          <w:rFonts w:hint="eastAsia" w:ascii="仿宋_GB2312" w:hAnsi="仿宋" w:eastAsia="仿宋_GB2312"/>
          <w:color w:val="auto"/>
          <w:kern w:val="0"/>
          <w:szCs w:val="21"/>
          <w:highlight w:val="none"/>
        </w:rPr>
      </w:pPr>
      <w:r>
        <w:rPr>
          <w:rFonts w:hint="eastAsia" w:ascii="仿宋_GB2312" w:hAnsi="仿宋" w:eastAsia="仿宋_GB2312" w:cs="宋体"/>
          <w:color w:val="auto"/>
          <w:kern w:val="0"/>
          <w:sz w:val="24"/>
          <w:highlight w:val="none"/>
        </w:rPr>
        <w:t>单位：万元</w:t>
      </w:r>
    </w:p>
    <w:tbl>
      <w:tblPr>
        <w:tblStyle w:val="9"/>
        <w:tblW w:w="9000" w:type="dxa"/>
        <w:tblInd w:w="108" w:type="dxa"/>
        <w:tblLayout w:type="fixed"/>
        <w:tblCellMar>
          <w:top w:w="0" w:type="dxa"/>
          <w:left w:w="108" w:type="dxa"/>
          <w:bottom w:w="0" w:type="dxa"/>
          <w:right w:w="108" w:type="dxa"/>
        </w:tblCellMar>
      </w:tblPr>
      <w:tblGrid>
        <w:gridCol w:w="4320"/>
        <w:gridCol w:w="4680"/>
      </w:tblGrid>
      <w:tr>
        <w:tblPrEx>
          <w:tblCellMar>
            <w:top w:w="0" w:type="dxa"/>
            <w:left w:w="108" w:type="dxa"/>
            <w:bottom w:w="0" w:type="dxa"/>
            <w:right w:w="108" w:type="dxa"/>
          </w:tblCellMar>
        </w:tblPrEx>
        <w:trPr>
          <w:trHeight w:val="487"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w:t>
            </w:r>
          </w:p>
        </w:tc>
        <w:tc>
          <w:tcPr>
            <w:tcW w:w="4680"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期末账面余额</w:t>
            </w:r>
          </w:p>
        </w:tc>
      </w:tr>
      <w:tr>
        <w:tblPrEx>
          <w:tblCellMar>
            <w:top w:w="0" w:type="dxa"/>
            <w:left w:w="108" w:type="dxa"/>
            <w:bottom w:w="0" w:type="dxa"/>
            <w:right w:w="108" w:type="dxa"/>
          </w:tblCellMar>
        </w:tblPrEx>
        <w:trPr>
          <w:trHeight w:val="451" w:hRule="atLeast"/>
        </w:trPr>
        <w:tc>
          <w:tcPr>
            <w:tcW w:w="4320" w:type="dxa"/>
            <w:tcBorders>
              <w:top w:val="nil"/>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债权投资国债</w:t>
            </w:r>
          </w:p>
        </w:tc>
        <w:tc>
          <w:tcPr>
            <w:tcW w:w="4680" w:type="dxa"/>
            <w:tcBorders>
              <w:top w:val="nil"/>
              <w:left w:val="nil"/>
              <w:bottom w:val="single" w:color="auto" w:sz="4" w:space="0"/>
              <w:right w:val="single" w:color="auto" w:sz="4" w:space="0"/>
            </w:tcBorders>
            <w:vAlign w:val="center"/>
          </w:tcPr>
          <w:p>
            <w:pPr>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71404.41</w:t>
            </w:r>
          </w:p>
        </w:tc>
      </w:tr>
      <w:tr>
        <w:tblPrEx>
          <w:tblCellMar>
            <w:top w:w="0" w:type="dxa"/>
            <w:left w:w="108" w:type="dxa"/>
            <w:bottom w:w="0" w:type="dxa"/>
            <w:right w:w="108" w:type="dxa"/>
          </w:tblCellMar>
        </w:tblPrEx>
        <w:trPr>
          <w:trHeight w:val="451" w:hRule="atLeast"/>
        </w:trPr>
        <w:tc>
          <w:tcPr>
            <w:tcW w:w="4320" w:type="dxa"/>
            <w:tcBorders>
              <w:top w:val="nil"/>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债权投资地方政府债券</w:t>
            </w:r>
          </w:p>
        </w:tc>
        <w:tc>
          <w:tcPr>
            <w:tcW w:w="4680" w:type="dxa"/>
            <w:tcBorders>
              <w:top w:val="nil"/>
              <w:left w:val="nil"/>
              <w:bottom w:val="single" w:color="auto" w:sz="4" w:space="0"/>
              <w:right w:val="single" w:color="auto" w:sz="4" w:space="0"/>
            </w:tcBorders>
            <w:vAlign w:val="center"/>
          </w:tcPr>
          <w:p>
            <w:pPr>
              <w:spacing w:line="540" w:lineRule="exact"/>
              <w:jc w:val="center"/>
              <w:rPr>
                <w:rFonts w:hint="eastAsia" w:ascii="仿宋_GB2312" w:hAnsi="仿宋" w:eastAsia="仿宋_GB2312" w:cs="Times New Roman"/>
                <w:color w:val="auto"/>
                <w:sz w:val="24"/>
                <w:szCs w:val="24"/>
                <w:highlight w:val="none"/>
                <w:lang w:val="en-US" w:eastAsia="zh-CN"/>
              </w:rPr>
            </w:pPr>
            <w:r>
              <w:rPr>
                <w:rFonts w:hint="default" w:ascii="仿宋_GB2312" w:hAnsi="仿宋" w:eastAsia="仿宋_GB2312" w:cs="Times New Roman"/>
                <w:color w:val="auto"/>
                <w:sz w:val="24"/>
                <w:szCs w:val="24"/>
                <w:highlight w:val="none"/>
                <w:lang w:val="en-US" w:eastAsia="zh-CN"/>
              </w:rPr>
              <w:t>88850.43</w:t>
            </w:r>
          </w:p>
        </w:tc>
      </w:tr>
      <w:tr>
        <w:tblPrEx>
          <w:tblCellMar>
            <w:top w:w="0" w:type="dxa"/>
            <w:left w:w="108" w:type="dxa"/>
            <w:bottom w:w="0" w:type="dxa"/>
            <w:right w:w="108" w:type="dxa"/>
          </w:tblCellMar>
        </w:tblPrEx>
        <w:trPr>
          <w:trHeight w:val="451" w:hRule="atLeast"/>
        </w:trPr>
        <w:tc>
          <w:tcPr>
            <w:tcW w:w="4320" w:type="dxa"/>
            <w:tcBorders>
              <w:top w:val="nil"/>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债权投资政策性银行债券</w:t>
            </w:r>
          </w:p>
        </w:tc>
        <w:tc>
          <w:tcPr>
            <w:tcW w:w="4680" w:type="dxa"/>
            <w:tcBorders>
              <w:top w:val="nil"/>
              <w:left w:val="nil"/>
              <w:bottom w:val="single" w:color="auto" w:sz="4" w:space="0"/>
              <w:right w:val="single" w:color="auto" w:sz="4" w:space="0"/>
            </w:tcBorders>
            <w:vAlign w:val="center"/>
          </w:tcPr>
          <w:p>
            <w:pPr>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276454.58</w:t>
            </w:r>
          </w:p>
        </w:tc>
      </w:tr>
      <w:tr>
        <w:tblPrEx>
          <w:tblCellMar>
            <w:top w:w="0" w:type="dxa"/>
            <w:left w:w="108" w:type="dxa"/>
            <w:bottom w:w="0" w:type="dxa"/>
            <w:right w:w="108" w:type="dxa"/>
          </w:tblCellMar>
        </w:tblPrEx>
        <w:trPr>
          <w:trHeight w:val="451" w:hRule="atLeast"/>
        </w:trPr>
        <w:tc>
          <w:tcPr>
            <w:tcW w:w="4320" w:type="dxa"/>
            <w:tcBorders>
              <w:top w:val="nil"/>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债权投资商业银行债券</w:t>
            </w:r>
          </w:p>
        </w:tc>
        <w:tc>
          <w:tcPr>
            <w:tcW w:w="4680" w:type="dxa"/>
            <w:tcBorders>
              <w:top w:val="nil"/>
              <w:left w:val="nil"/>
              <w:bottom w:val="single" w:color="auto" w:sz="4" w:space="0"/>
              <w:right w:val="single" w:color="auto" w:sz="4" w:space="0"/>
            </w:tcBorders>
            <w:vAlign w:val="center"/>
          </w:tcPr>
          <w:p>
            <w:pPr>
              <w:spacing w:line="540" w:lineRule="exact"/>
              <w:jc w:val="center"/>
              <w:rPr>
                <w:rFonts w:hint="eastAsia" w:ascii="仿宋_GB2312" w:hAnsi="仿宋" w:eastAsia="仿宋_GB2312" w:cs="Times New Roman"/>
                <w:color w:val="auto"/>
                <w:sz w:val="24"/>
                <w:szCs w:val="24"/>
                <w:highlight w:val="none"/>
                <w:lang w:val="en-US" w:eastAsia="zh-CN"/>
              </w:rPr>
            </w:pPr>
            <w:r>
              <w:rPr>
                <w:rFonts w:hint="default" w:ascii="仿宋_GB2312" w:hAnsi="仿宋" w:eastAsia="仿宋_GB2312" w:cs="Times New Roman"/>
                <w:color w:val="auto"/>
                <w:sz w:val="24"/>
                <w:szCs w:val="24"/>
                <w:highlight w:val="none"/>
                <w:lang w:val="en-US" w:eastAsia="zh-CN"/>
              </w:rPr>
              <w:t>52823.68</w:t>
            </w:r>
          </w:p>
        </w:tc>
      </w:tr>
      <w:tr>
        <w:tblPrEx>
          <w:tblCellMar>
            <w:top w:w="0" w:type="dxa"/>
            <w:left w:w="108" w:type="dxa"/>
            <w:bottom w:w="0" w:type="dxa"/>
            <w:right w:w="108" w:type="dxa"/>
          </w:tblCellMar>
        </w:tblPrEx>
        <w:trPr>
          <w:trHeight w:val="451" w:hRule="atLeast"/>
        </w:trPr>
        <w:tc>
          <w:tcPr>
            <w:tcW w:w="432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债权投资其他企业债券</w:t>
            </w:r>
          </w:p>
        </w:tc>
        <w:tc>
          <w:tcPr>
            <w:tcW w:w="4680"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5072.47</w:t>
            </w:r>
          </w:p>
        </w:tc>
      </w:tr>
      <w:tr>
        <w:tblPrEx>
          <w:tblCellMar>
            <w:top w:w="0" w:type="dxa"/>
            <w:left w:w="108" w:type="dxa"/>
            <w:bottom w:w="0" w:type="dxa"/>
            <w:right w:w="108" w:type="dxa"/>
          </w:tblCellMar>
        </w:tblPrEx>
        <w:trPr>
          <w:trHeight w:val="451" w:hRule="atLeast"/>
        </w:trPr>
        <w:tc>
          <w:tcPr>
            <w:tcW w:w="4320" w:type="dxa"/>
            <w:tcBorders>
              <w:top w:val="nil"/>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债权投资其他银行同业存单</w:t>
            </w:r>
          </w:p>
        </w:tc>
        <w:tc>
          <w:tcPr>
            <w:tcW w:w="4680" w:type="dxa"/>
            <w:tcBorders>
              <w:top w:val="nil"/>
              <w:left w:val="nil"/>
              <w:bottom w:val="single" w:color="auto" w:sz="4" w:space="0"/>
              <w:right w:val="single" w:color="auto" w:sz="4" w:space="0"/>
            </w:tcBorders>
            <w:vAlign w:val="center"/>
          </w:tcPr>
          <w:p>
            <w:pPr>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244848.86</w:t>
            </w:r>
          </w:p>
        </w:tc>
      </w:tr>
      <w:tr>
        <w:tblPrEx>
          <w:tblCellMar>
            <w:top w:w="0" w:type="dxa"/>
            <w:left w:w="108" w:type="dxa"/>
            <w:bottom w:w="0" w:type="dxa"/>
            <w:right w:w="108" w:type="dxa"/>
          </w:tblCellMar>
        </w:tblPrEx>
        <w:trPr>
          <w:trHeight w:val="457" w:hRule="atLeast"/>
        </w:trPr>
        <w:tc>
          <w:tcPr>
            <w:tcW w:w="4320" w:type="dxa"/>
            <w:tcBorders>
              <w:top w:val="nil"/>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合计</w:t>
            </w:r>
          </w:p>
        </w:tc>
        <w:tc>
          <w:tcPr>
            <w:tcW w:w="4680" w:type="dxa"/>
            <w:tcBorders>
              <w:top w:val="nil"/>
              <w:left w:val="nil"/>
              <w:bottom w:val="single" w:color="auto" w:sz="4" w:space="0"/>
              <w:right w:val="single" w:color="auto" w:sz="4" w:space="0"/>
            </w:tcBorders>
            <w:vAlign w:val="center"/>
          </w:tcPr>
          <w:p>
            <w:pPr>
              <w:spacing w:line="540" w:lineRule="exact"/>
              <w:jc w:val="center"/>
              <w:rPr>
                <w:rFonts w:hint="eastAsia" w:ascii="仿宋_GB2312" w:hAnsi="仿宋" w:eastAsia="仿宋_GB2312" w:cs="Times New Roman"/>
                <w:color w:val="auto"/>
                <w:sz w:val="24"/>
                <w:szCs w:val="24"/>
                <w:highlight w:val="none"/>
              </w:rPr>
            </w:pPr>
            <w:r>
              <w:rPr>
                <w:rFonts w:hint="default" w:ascii="仿宋_GB2312" w:hAnsi="仿宋" w:eastAsia="仿宋_GB2312" w:cs="Times New Roman"/>
                <w:color w:val="auto"/>
                <w:sz w:val="24"/>
                <w:szCs w:val="24"/>
                <w:highlight w:val="none"/>
                <w:lang w:val="en-US" w:eastAsia="zh-CN"/>
              </w:rPr>
              <w:t>739454.43</w:t>
            </w:r>
          </w:p>
        </w:tc>
      </w:tr>
    </w:tbl>
    <w:p>
      <w:pPr>
        <w:numPr>
          <w:ilvl w:val="0"/>
          <w:numId w:val="0"/>
        </w:num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 xml:space="preserve">4.7  </w:t>
      </w:r>
      <w:r>
        <w:rPr>
          <w:rFonts w:hint="eastAsia" w:ascii="仿宋_GB2312" w:hAnsi="仿宋" w:eastAsia="仿宋_GB2312"/>
          <w:color w:val="auto"/>
          <w:sz w:val="32"/>
          <w:szCs w:val="32"/>
          <w:highlight w:val="none"/>
        </w:rPr>
        <w:t xml:space="preserve">信用风险对策 </w:t>
      </w:r>
    </w:p>
    <w:p>
      <w:pPr>
        <w:spacing w:line="560" w:lineRule="exact"/>
        <w:ind w:firstLine="643" w:firstLineChars="200"/>
        <w:rPr>
          <w:rFonts w:hint="eastAsia"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一是</w:t>
      </w:r>
      <w:r>
        <w:rPr>
          <w:rFonts w:hint="eastAsia" w:ascii="仿宋_GB2312" w:hAnsi="仿宋" w:eastAsia="仿宋_GB2312"/>
          <w:color w:val="auto"/>
          <w:sz w:val="32"/>
          <w:szCs w:val="32"/>
          <w:highlight w:val="none"/>
        </w:rPr>
        <w:t>严控增量风险。</w:t>
      </w:r>
      <w:r>
        <w:rPr>
          <w:rFonts w:hint="eastAsia" w:ascii="仿宋_GB2312" w:eastAsia="仿宋_GB2312"/>
          <w:color w:val="auto"/>
          <w:kern w:val="0"/>
          <w:sz w:val="32"/>
          <w:szCs w:val="32"/>
          <w:highlight w:val="none"/>
        </w:rPr>
        <w:t>安排专人通过数据分析和提示功能，持续做好新增逾期贷款监测工作，月初将预计反弹明细即本金或利息逾期90天以内贷款整理下发贷款到（逾）期提前预警提示单，本着“反弹多少处置多少，内部平衡”的要求，对风险隐患做到“早发现、早处理”。加强调度、压实责任，对已列入关注类的贷款客户通过电话、微信催收无果的，要求及时上户发放律师催收函方式催收，防止由于到（逾）期贷款和贷款因欠息转化为不良贷款</w:t>
      </w:r>
      <w:r>
        <w:rPr>
          <w:rFonts w:hint="eastAsia" w:ascii="仿宋_GB2312" w:eastAsia="仿宋_GB2312"/>
          <w:color w:val="auto"/>
          <w:kern w:val="0"/>
          <w:sz w:val="32"/>
          <w:szCs w:val="32"/>
          <w:highlight w:val="none"/>
          <w:lang w:eastAsia="zh-CN"/>
        </w:rPr>
        <w:t>。</w:t>
      </w:r>
      <w:r>
        <w:rPr>
          <w:rFonts w:hint="eastAsia" w:ascii="仿宋_GB2312" w:hAnsi="仿宋" w:eastAsia="仿宋_GB2312"/>
          <w:b/>
          <w:color w:val="auto"/>
          <w:sz w:val="32"/>
          <w:szCs w:val="32"/>
          <w:highlight w:val="none"/>
        </w:rPr>
        <w:t>二是</w:t>
      </w:r>
      <w:r>
        <w:rPr>
          <w:rFonts w:hint="eastAsia" w:ascii="仿宋_GB2312" w:hAnsi="仿宋" w:eastAsia="仿宋_GB2312"/>
          <w:color w:val="auto"/>
          <w:sz w:val="32"/>
          <w:szCs w:val="32"/>
          <w:highlight w:val="none"/>
        </w:rPr>
        <w:t>处置存量风险。对存量不良贷款建立台账、逐户清理，</w:t>
      </w:r>
      <w:r>
        <w:rPr>
          <w:rFonts w:eastAsia="仿宋_GB2312"/>
          <w:color w:val="auto"/>
          <w:sz w:val="32"/>
          <w:szCs w:val="32"/>
          <w:highlight w:val="none"/>
        </w:rPr>
        <w:t>根据单户实际逐笔明确现金收回、合规转贷、落实还款计划等具体措施，</w:t>
      </w:r>
      <w:r>
        <w:rPr>
          <w:rFonts w:eastAsia="仿宋_GB2312"/>
          <w:bCs/>
          <w:color w:val="auto"/>
          <w:kern w:val="0"/>
          <w:sz w:val="32"/>
          <w:szCs w:val="32"/>
          <w:highlight w:val="none"/>
        </w:rPr>
        <w:t>锁定目标，限期压降，逐一攻破</w:t>
      </w:r>
      <w:r>
        <w:rPr>
          <w:rFonts w:hint="eastAsia" w:eastAsia="仿宋_GB2312"/>
          <w:bCs/>
          <w:color w:val="auto"/>
          <w:kern w:val="0"/>
          <w:sz w:val="32"/>
          <w:szCs w:val="32"/>
          <w:highlight w:val="none"/>
        </w:rPr>
        <w:t>，</w:t>
      </w:r>
      <w:r>
        <w:rPr>
          <w:rFonts w:hint="eastAsia" w:ascii="仿宋_GB2312" w:hAnsi="仿宋" w:eastAsia="仿宋_GB2312"/>
          <w:color w:val="auto"/>
          <w:sz w:val="32"/>
          <w:szCs w:val="32"/>
          <w:highlight w:val="none"/>
        </w:rPr>
        <w:t>做到户户有人问，笔笔有人管。</w:t>
      </w:r>
      <w:r>
        <w:rPr>
          <w:rFonts w:eastAsia="仿宋_GB2312"/>
          <w:color w:val="auto"/>
          <w:kern w:val="0"/>
          <w:sz w:val="32"/>
          <w:szCs w:val="32"/>
          <w:highlight w:val="none"/>
        </w:rPr>
        <w:t>对大额不良贷款，</w:t>
      </w:r>
      <w:r>
        <w:rPr>
          <w:rFonts w:eastAsia="仿宋"/>
          <w:color w:val="auto"/>
          <w:sz w:val="32"/>
          <w:szCs w:val="32"/>
          <w:highlight w:val="none"/>
        </w:rPr>
        <w:t>实行领导班子督办责任制</w:t>
      </w:r>
      <w:r>
        <w:rPr>
          <w:rFonts w:hint="eastAsia" w:eastAsia="仿宋"/>
          <w:color w:val="auto"/>
          <w:sz w:val="32"/>
          <w:szCs w:val="32"/>
          <w:highlight w:val="none"/>
        </w:rPr>
        <w:t>，</w:t>
      </w:r>
      <w:r>
        <w:rPr>
          <w:rFonts w:eastAsia="仿宋_GB2312"/>
          <w:color w:val="auto"/>
          <w:kern w:val="0"/>
          <w:sz w:val="32"/>
          <w:szCs w:val="32"/>
          <w:highlight w:val="none"/>
        </w:rPr>
        <w:t>逐笔与支行商议清收计划，商定清收措施，并督促落实计划和措施的执行，不搞简单的</w:t>
      </w:r>
      <w:r>
        <w:rPr>
          <w:rFonts w:hint="eastAsia" w:eastAsia="仿宋_GB2312"/>
          <w:color w:val="auto"/>
          <w:kern w:val="0"/>
          <w:sz w:val="32"/>
          <w:szCs w:val="32"/>
          <w:highlight w:val="none"/>
          <w:lang w:eastAsia="zh-CN"/>
        </w:rPr>
        <w:t>“</w:t>
      </w:r>
      <w:r>
        <w:rPr>
          <w:rFonts w:eastAsia="仿宋_GB2312"/>
          <w:color w:val="auto"/>
          <w:kern w:val="0"/>
          <w:sz w:val="32"/>
          <w:szCs w:val="32"/>
          <w:highlight w:val="none"/>
        </w:rPr>
        <w:t>一诉了之”</w:t>
      </w:r>
      <w:r>
        <w:rPr>
          <w:rFonts w:hint="eastAsia" w:eastAsia="仿宋_GB2312"/>
          <w:color w:val="auto"/>
          <w:kern w:val="0"/>
          <w:sz w:val="32"/>
          <w:szCs w:val="32"/>
          <w:highlight w:val="none"/>
        </w:rPr>
        <w:t>，</w:t>
      </w:r>
      <w:r>
        <w:rPr>
          <w:rFonts w:eastAsia="仿宋_GB2312"/>
          <w:color w:val="auto"/>
          <w:kern w:val="0"/>
          <w:sz w:val="32"/>
          <w:szCs w:val="32"/>
          <w:highlight w:val="none"/>
        </w:rPr>
        <w:t>集中优势加大清收处置力度。</w:t>
      </w:r>
      <w:r>
        <w:rPr>
          <w:rFonts w:hint="eastAsia" w:ascii="仿宋_GB2312" w:hAnsi="仿宋" w:eastAsia="仿宋_GB2312"/>
          <w:b/>
          <w:color w:val="auto"/>
          <w:sz w:val="32"/>
          <w:szCs w:val="32"/>
          <w:highlight w:val="none"/>
        </w:rPr>
        <w:t>三是</w:t>
      </w:r>
      <w:r>
        <w:rPr>
          <w:rFonts w:hint="eastAsia" w:ascii="仿宋_GB2312" w:hAnsi="仿宋" w:eastAsia="仿宋_GB2312"/>
          <w:color w:val="auto"/>
          <w:sz w:val="32"/>
          <w:szCs w:val="32"/>
          <w:highlight w:val="none"/>
        </w:rPr>
        <w:t>关注外部风险。密切关注政府融资平台、房地产、融资性担保公司等外部风险，及时开展预警研判，强化重点企业“名单制”管理，防范资金链断裂可能产生的外部风险传染。</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 xml:space="preserve">4.8  </w:t>
      </w:r>
      <w:r>
        <w:rPr>
          <w:rFonts w:hint="eastAsia" w:ascii="仿宋_GB2312" w:hAnsi="仿宋" w:eastAsia="仿宋_GB2312"/>
          <w:color w:val="auto"/>
          <w:sz w:val="32"/>
          <w:szCs w:val="32"/>
          <w:highlight w:val="none"/>
        </w:rPr>
        <w:t>流动性风险对策</w:t>
      </w:r>
    </w:p>
    <w:p>
      <w:pPr>
        <w:spacing w:line="560" w:lineRule="exact"/>
        <w:ind w:firstLine="643" w:firstLineChars="200"/>
        <w:rPr>
          <w:rFonts w:hint="eastAsia" w:ascii="仿宋_GB2312" w:hAnsi="仿宋" w:eastAsia="仿宋_GB2312"/>
          <w:color w:val="auto"/>
          <w:sz w:val="32"/>
          <w:szCs w:val="32"/>
          <w:highlight w:val="none"/>
        </w:rPr>
      </w:pPr>
      <w:r>
        <w:rPr>
          <w:rFonts w:hint="eastAsia" w:ascii="仿宋_GB2312" w:eastAsia="仿宋_GB2312"/>
          <w:b/>
          <w:bCs/>
          <w:color w:val="auto"/>
          <w:sz w:val="32"/>
          <w:szCs w:val="32"/>
          <w:highlight w:val="none"/>
        </w:rPr>
        <w:t>一是</w:t>
      </w:r>
      <w:r>
        <w:rPr>
          <w:rFonts w:hint="eastAsia" w:ascii="仿宋_GB2312" w:eastAsia="仿宋_GB2312"/>
          <w:color w:val="auto"/>
          <w:sz w:val="32"/>
          <w:szCs w:val="32"/>
          <w:highlight w:val="none"/>
        </w:rPr>
        <w:t>加强投资业务与流动性风险管理的结合，合理安排同业业务的久期结构，减小流动性风险敞口，保持投资业务久期和主动负债久期相匹配，降低流动性风险。</w:t>
      </w:r>
      <w:r>
        <w:rPr>
          <w:rFonts w:hint="eastAsia" w:ascii="仿宋_GB2312" w:eastAsia="仿宋_GB2312"/>
          <w:b/>
          <w:bCs/>
          <w:color w:val="auto"/>
          <w:sz w:val="32"/>
          <w:szCs w:val="32"/>
          <w:highlight w:val="none"/>
        </w:rPr>
        <w:t>二是</w:t>
      </w:r>
      <w:r>
        <w:rPr>
          <w:rFonts w:hint="eastAsia" w:ascii="仿宋_GB2312" w:eastAsia="仿宋_GB2312"/>
          <w:color w:val="auto"/>
          <w:sz w:val="32"/>
          <w:szCs w:val="32"/>
          <w:highlight w:val="none"/>
        </w:rPr>
        <w:t>加强资金头寸管理，防范资金流动性风险。采取勤算、勤缴、勤调，灵活调度资金头寸，做好资金预测、预报，对大额资金走向进行及时跟踪、反馈，及时了解重点客户的资金需求与资金流量动态，做好节假日及旺季资金预测工作，根据信贷计划安排及时预测和判断资金流动性情况，确保正常支付的资金需求，有效地防止头寸风险发生。三</w:t>
      </w:r>
      <w:r>
        <w:rPr>
          <w:rFonts w:hint="eastAsia" w:ascii="仿宋_GB2312" w:eastAsia="仿宋_GB2312"/>
          <w:b/>
          <w:bCs/>
          <w:color w:val="auto"/>
          <w:sz w:val="32"/>
          <w:szCs w:val="32"/>
          <w:highlight w:val="none"/>
        </w:rPr>
        <w:t>是</w:t>
      </w:r>
      <w:r>
        <w:rPr>
          <w:rFonts w:hint="eastAsia" w:ascii="仿宋_GB2312" w:hAnsi="宋体" w:eastAsia="仿宋_GB2312" w:cs="宋体"/>
          <w:color w:val="auto"/>
          <w:sz w:val="32"/>
          <w:szCs w:val="32"/>
          <w:highlight w:val="none"/>
        </w:rPr>
        <w:t>强化流动性管理。</w:t>
      </w:r>
      <w:r>
        <w:rPr>
          <w:rFonts w:hint="eastAsia" w:ascii="仿宋_GB2312" w:hAnsi="宋体" w:eastAsia="仿宋_GB2312" w:cs="宋体"/>
          <w:color w:val="auto"/>
          <w:kern w:val="0"/>
          <w:sz w:val="32"/>
          <w:szCs w:val="32"/>
          <w:highlight w:val="none"/>
        </w:rPr>
        <w:t>在确保流动性安全的情况下，加强资金运用，提高经营效益；</w:t>
      </w:r>
      <w:r>
        <w:rPr>
          <w:rFonts w:hint="eastAsia" w:ascii="仿宋_GB2312" w:hAnsi="仿宋_GB2312" w:eastAsia="仿宋_GB2312" w:cs="仿宋_GB2312"/>
          <w:color w:val="auto"/>
          <w:sz w:val="32"/>
          <w:szCs w:val="32"/>
          <w:highlight w:val="none"/>
        </w:rPr>
        <w:t>同时</w:t>
      </w:r>
      <w:r>
        <w:rPr>
          <w:rFonts w:hint="eastAsia" w:ascii="仿宋_GB2312" w:hAnsi="宋体" w:eastAsia="仿宋_GB2312" w:cs="宋体"/>
          <w:color w:val="auto"/>
          <w:sz w:val="32"/>
          <w:szCs w:val="32"/>
          <w:highlight w:val="none"/>
        </w:rPr>
        <w:t>用足用好支农支小再贷款、再贴现政策，积极</w:t>
      </w:r>
      <w:r>
        <w:rPr>
          <w:rFonts w:ascii="仿宋_GB2312" w:hAnsi="宋体" w:eastAsia="仿宋_GB2312" w:cs="宋体"/>
          <w:color w:val="auto"/>
          <w:sz w:val="32"/>
          <w:szCs w:val="32"/>
          <w:highlight w:val="none"/>
        </w:rPr>
        <w:t>向人行申请常备借贷便利等货币政策工具，</w:t>
      </w:r>
      <w:r>
        <w:rPr>
          <w:rFonts w:hint="eastAsia" w:ascii="仿宋_GB2312" w:hAnsi="宋体" w:eastAsia="仿宋_GB2312" w:cs="宋体"/>
          <w:color w:val="auto"/>
          <w:sz w:val="32"/>
          <w:szCs w:val="32"/>
          <w:highlight w:val="none"/>
        </w:rPr>
        <w:t>增强主动负债能力</w:t>
      </w:r>
      <w:r>
        <w:rPr>
          <w:rFonts w:hint="eastAsia" w:ascii="仿宋_GB2312" w:hAnsi="仿宋_GB2312" w:eastAsia="仿宋_GB2312" w:cs="仿宋_GB2312"/>
          <w:color w:val="auto"/>
          <w:sz w:val="32"/>
          <w:szCs w:val="32"/>
          <w:highlight w:val="none"/>
        </w:rPr>
        <w:t>。</w:t>
      </w:r>
      <w:r>
        <w:rPr>
          <w:rFonts w:hint="eastAsia" w:ascii="仿宋_GB2312" w:eastAsia="仿宋_GB2312"/>
          <w:b/>
          <w:bCs/>
          <w:color w:val="auto"/>
          <w:sz w:val="32"/>
          <w:szCs w:val="32"/>
          <w:highlight w:val="none"/>
        </w:rPr>
        <w:t>四是</w:t>
      </w:r>
      <w:r>
        <w:rPr>
          <w:rFonts w:hint="eastAsia" w:ascii="仿宋_GB2312" w:hAnsi="宋体" w:eastAsia="仿宋_GB2312" w:cs="宋体"/>
          <w:color w:val="auto"/>
          <w:sz w:val="32"/>
          <w:szCs w:val="32"/>
          <w:highlight w:val="none"/>
        </w:rPr>
        <w:t>认真开展流动性压力测试。根据需要定期和不定期开展流动性压力测试，并及时报告压力测试结果，不断提高流动性管理的前瞻性、主动性和科学性。</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 xml:space="preserve">4.9  </w:t>
      </w:r>
      <w:r>
        <w:rPr>
          <w:rFonts w:hint="eastAsia" w:ascii="仿宋_GB2312" w:hAnsi="仿宋" w:eastAsia="仿宋_GB2312"/>
          <w:color w:val="auto"/>
          <w:sz w:val="32"/>
          <w:szCs w:val="32"/>
          <w:highlight w:val="none"/>
        </w:rPr>
        <w:t>债券投资风险对策</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制定了《萍乡农村商业银行债券投资业务管理办法》《萍乡农村商业银行债券业务授信管理办法》</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按照前中后台分离的岗位设置履行债券投资流程管理；进一步严格债券投资风险管控，坚持“授信在前，用信在后”，事前对每只债券的发行主体进行合理授信，事中严格按照流程进行内部审批，事后存续期内对债券进行跟踪管理及风险监测，定期关注债券发行主体的经营状况和债券利率波动情况、交易变动。在操作上，</w:t>
      </w:r>
      <w:r>
        <w:rPr>
          <w:rFonts w:hint="eastAsia" w:ascii="仿宋_GB2312" w:hAnsi="仿宋_GB2312" w:eastAsia="仿宋_GB2312" w:cs="仿宋_GB2312"/>
          <w:color w:val="auto"/>
          <w:sz w:val="32"/>
          <w:szCs w:val="32"/>
          <w:highlight w:val="none"/>
        </w:rPr>
        <w:t>首先，严格防控信用风险。进行债券投资之前，对发行方进行严格授信和风险把控，确保其信用质量良好。通过分散投资、选择具备良好信用评级的债券等方式降低信用风险。其次，为防范债券的流动性风险，通过分散投资、选择具备较高流动性的债券品种等方式降低流动性风险。</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 xml:space="preserve">4.10  </w:t>
      </w:r>
      <w:r>
        <w:rPr>
          <w:rFonts w:hint="eastAsia" w:ascii="仿宋_GB2312" w:hAnsi="仿宋" w:eastAsia="仿宋_GB2312"/>
          <w:color w:val="auto"/>
          <w:sz w:val="32"/>
          <w:szCs w:val="32"/>
          <w:highlight w:val="none"/>
        </w:rPr>
        <w:t>同业业务风险对策</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制定了《萍乡农村商业银行资金业务管理办法》《萍乡农村商业银行同业业务管理办法》《萍乡农村商业银行同业业务授信管理办法》</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同业合作机构均在《合作机构准入名单》内，并根据同业交易对手资质变化情况实时调整该名单，同时严格按照“先授信、后用信”和审慎合规的原则开展同业业务。对于存量同业业务，定期对交易对手的经营情况、信用情况等进行监测，确保风险可控。</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sz w:val="32"/>
          <w:szCs w:val="32"/>
          <w:lang w:val="en-US" w:eastAsia="zh-CN"/>
        </w:rPr>
        <w:t>4.11</w:t>
      </w:r>
      <w:r>
        <w:rPr>
          <w:rFonts w:hint="eastAsia" w:ascii="仿宋_GB2312" w:hAnsi="仿宋" w:eastAsia="仿宋_GB2312"/>
          <w:sz w:val="32"/>
          <w:szCs w:val="32"/>
        </w:rPr>
        <w:t>信息科技风险对策</w:t>
      </w:r>
    </w:p>
    <w:p>
      <w:pPr>
        <w:spacing w:line="560" w:lineRule="exact"/>
        <w:ind w:firstLine="640" w:firstLineChars="200"/>
        <w:rPr>
          <w:rFonts w:hint="eastAsia" w:ascii="仿宋_GB2312" w:hAnsi="仿宋" w:eastAsia="仿宋_GB2312"/>
          <w:b/>
          <w:bCs/>
          <w:color w:val="auto"/>
          <w:sz w:val="32"/>
          <w:szCs w:val="32"/>
          <w:highlight w:val="none"/>
          <w:lang w:val="zh-CN"/>
        </w:rPr>
      </w:pPr>
      <w:r>
        <w:rPr>
          <w:rFonts w:hint="eastAsia" w:ascii="仿宋_GB2312" w:hAnsi="仿宋_GB2312" w:eastAsia="仿宋_GB2312" w:cs="仿宋_GB2312"/>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zh-CN"/>
        </w:rPr>
        <w:t>完善治理架构。强化董事会下设的信息科技委员会职能，定期召开会议，审议信息科技战略规划、预算投入、重大项目建设等关键事项，确保信息科技发展与银行整体战略协同。明确</w:t>
      </w:r>
      <w:r>
        <w:rPr>
          <w:rFonts w:hint="eastAsia" w:ascii="仿宋_GB2312" w:hAnsi="仿宋_GB2312" w:eastAsia="仿宋_GB2312" w:cs="仿宋_GB2312"/>
          <w:color w:val="auto"/>
          <w:sz w:val="32"/>
          <w:szCs w:val="32"/>
          <w:highlight w:val="none"/>
          <w:lang w:val="en-US" w:eastAsia="zh-CN"/>
        </w:rPr>
        <w:t>运营管理</w:t>
      </w:r>
      <w:r>
        <w:rPr>
          <w:rFonts w:hint="eastAsia" w:ascii="仿宋_GB2312" w:hAnsi="仿宋_GB2312" w:eastAsia="仿宋_GB2312" w:cs="仿宋_GB2312"/>
          <w:color w:val="auto"/>
          <w:sz w:val="32"/>
          <w:szCs w:val="32"/>
          <w:highlight w:val="none"/>
          <w:lang w:val="zh-CN"/>
        </w:rPr>
        <w:t>部门负责系统建设与运维，风险管理部门负责风险识别与评估，内部审计部门负责监督检查，形成分工明确、相互协作与制衡的治理格局。二</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lang w:val="zh-CN"/>
        </w:rPr>
        <w:t>健全制度体系。依据国家法律法规、金融监管要求以及银行自身业务特性，全面梳理并完善信息科技相关制度。制定涵盖信息系统建设、运维管理、数据安全、网络安全等方面的制度规范，定期对制度进行审查与更新，确保制度契合业务发展与技术变革需求。</w:t>
      </w:r>
      <w:r>
        <w:rPr>
          <w:rFonts w:hint="eastAsia" w:ascii="仿宋_GB2312" w:hAnsi="仿宋_GB2312" w:eastAsia="仿宋_GB2312" w:cs="仿宋_GB2312"/>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zh-CN"/>
        </w:rPr>
        <w:t>加强技术防护。搭建全方位网络安全防护体系，部署先进的防火墙、入侵检测与防御系统、防病毒软件等安全设备，实时监测网络流量，及时发现并阻断异常访问与攻击行为。对客户信息、交易数据等重要数据，采用加密技术进行存储与传输，防止数据泄露与篡改。</w:t>
      </w:r>
      <w:r>
        <w:rPr>
          <w:rFonts w:hint="eastAsia" w:ascii="仿宋_GB2312" w:hAnsi="仿宋_GB2312" w:eastAsia="仿宋_GB2312" w:cs="仿宋_GB2312"/>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zh-CN"/>
        </w:rPr>
        <w:t>提升人员能力。制定信息科技人员年度培训计划，鼓励员工参加行业认证考试，提升专业技术水平。针对全体员工，开展信息安全意识普及培训，通过案例分析、线上课程、模拟演练等形式，增强员工对信息安全重要性的认识，提升防范钓鱼邮件、恶意软件等安全风险的能力。五</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eastAsia="仿宋_GB2312" w:cs="仿宋_GB2312"/>
          <w:color w:val="auto"/>
          <w:sz w:val="32"/>
          <w:szCs w:val="32"/>
          <w:highlight w:val="none"/>
          <w:lang w:val="zh-CN"/>
        </w:rPr>
        <w:t>强化应急管理。完善信息系统应急响应预案，针对系统故障、网络攻击、自然灾害等各类突发事件，制定详细的应急处置流程与责任分工。定期组织应急演练，模拟不同场景下的系统中断事件，检验和提升应急指挥、技术抢修、业务恢复等环节的协同能力，确保在最短时间内恢复业务正常运行。</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 xml:space="preserve">4.12 </w:t>
      </w:r>
      <w:r>
        <w:rPr>
          <w:rFonts w:hint="eastAsia" w:ascii="仿宋_GB2312" w:hAnsi="仿宋" w:eastAsia="仿宋_GB2312"/>
          <w:color w:val="auto"/>
          <w:sz w:val="32"/>
          <w:szCs w:val="32"/>
          <w:highlight w:val="none"/>
        </w:rPr>
        <w:t>操作风险对策</w:t>
      </w:r>
    </w:p>
    <w:p>
      <w:pPr>
        <w:numPr>
          <w:ilvl w:val="0"/>
          <w:numId w:val="0"/>
        </w:numPr>
        <w:tabs>
          <w:tab w:val="left" w:pos="1890"/>
        </w:tabs>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优化制度流程。定期全面梳理各项业务操作流程，结合监管新规与业务发展需求，及时修订完善操作手册。细化业务操作步骤，明确各环节职责与权限，减少操作模糊地带。针对复杂业务或新产品，制定详细的操作指引与风险提示，确保员工操作有章可循。同时，建立制度流程后评价机制，收集业务部门反馈，持续优化，保障制度的有效性和适应性。二是强化员工培训与管理。构建多层次、全方位的培训体系，针对新员工开展入职操作风险培训，涵盖合规操作、风险案例等内容；对在职员工定期组织业务技能提升培训，强化风险意识。加强员工职业道德教育，培育诚信文化。建立员工行为监测机制，关注员工日常工作表现、异常交易行为等，及时发现潜在风险隐患。完善考核制度，将操作风险管理纳入考核指标，激励员工主动合规操作。三是完善内部控制与监督。完善内部控制体系，强化不相容岗位分离，加强授权管理，严格执行分级授权制度，确保业务操作的授权合规。加强内部审计监督，制定年度审计计划，定期开展操作风险专项审计，对重点业务领域、关键岗位进行深度检查。利用大数据分析等技术手段，构建操作风险监测预警模型，实时监控业务数据，及时发现异常波动与潜在风险点，实现风险早发现、早处置。</w:t>
      </w:r>
    </w:p>
    <w:p>
      <w:pPr>
        <w:numPr>
          <w:ilvl w:val="0"/>
          <w:numId w:val="0"/>
        </w:numPr>
        <w:spacing w:line="560" w:lineRule="exact"/>
        <w:ind w:firstLine="640" w:firstLineChars="200"/>
        <w:rPr>
          <w:rFonts w:hint="eastAsia" w:ascii="黑体" w:hAnsi="黑体" w:eastAsia="黑体"/>
          <w:bCs/>
          <w:color w:val="auto"/>
          <w:sz w:val="32"/>
          <w:szCs w:val="32"/>
          <w:highlight w:val="none"/>
        </w:rPr>
      </w:pPr>
      <w:r>
        <w:rPr>
          <w:rFonts w:hint="eastAsia" w:ascii="黑体" w:hAnsi="黑体" w:eastAsia="黑体"/>
          <w:bCs/>
          <w:color w:val="auto"/>
          <w:sz w:val="32"/>
          <w:szCs w:val="32"/>
          <w:highlight w:val="none"/>
          <w:lang w:val="en-US" w:eastAsia="zh-CN"/>
        </w:rPr>
        <w:t>五、</w:t>
      </w:r>
      <w:r>
        <w:rPr>
          <w:rFonts w:hint="eastAsia" w:ascii="黑体" w:hAnsi="黑体" w:eastAsia="黑体"/>
          <w:bCs/>
          <w:color w:val="auto"/>
          <w:sz w:val="32"/>
          <w:szCs w:val="32"/>
          <w:highlight w:val="none"/>
        </w:rPr>
        <w:t>股本变动及股东情况</w:t>
      </w:r>
    </w:p>
    <w:p>
      <w:pPr>
        <w:spacing w:line="54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.1  股东权益变动表</w:t>
      </w:r>
    </w:p>
    <w:p>
      <w:pPr>
        <w:widowControl/>
        <w:spacing w:line="440" w:lineRule="exact"/>
        <w:jc w:val="righ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单位：万股</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项目</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2023年末</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本期增加</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2024年末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52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股本</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103,113.57</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2,577.84</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105,691.41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52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资本公积</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2,813.94</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-2,577.84</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236.10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52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盈余公积</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8,962.88</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0.00</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8,962.88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一般风险准备</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17,040.71</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0.00</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17,040.71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其他综合收益</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1,016.31</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420.36</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1,436.67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未分配利润</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4,908.51</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0.00</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4,908.51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2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股东权益合计</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137,855.92</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420.36</w:t>
            </w:r>
          </w:p>
        </w:tc>
        <w:tc>
          <w:tcPr>
            <w:tcW w:w="2160"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138,276.28</w:t>
            </w:r>
          </w:p>
        </w:tc>
      </w:tr>
    </w:tbl>
    <w:p>
      <w:pPr>
        <w:spacing w:line="540" w:lineRule="exact"/>
        <w:ind w:firstLine="640" w:firstLineChars="200"/>
        <w:rPr>
          <w:rFonts w:hint="eastAsia" w:ascii="仿宋_GB2312" w:hAnsi="仿宋" w:eastAsia="仿宋_GB2312"/>
          <w:b/>
          <w:color w:val="auto"/>
          <w:sz w:val="32"/>
          <w:szCs w:val="32"/>
          <w:highlight w:val="none"/>
        </w:rPr>
      </w:pP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.2  股东类型分类表</w:t>
      </w:r>
    </w:p>
    <w:p>
      <w:pPr>
        <w:widowControl/>
        <w:spacing w:line="540" w:lineRule="exact"/>
        <w:jc w:val="right"/>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单位：万股、%</w:t>
      </w:r>
    </w:p>
    <w:tbl>
      <w:tblPr>
        <w:tblStyle w:val="9"/>
        <w:tblW w:w="9000" w:type="dxa"/>
        <w:tblInd w:w="108" w:type="dxa"/>
        <w:tblLayout w:type="fixed"/>
        <w:tblCellMar>
          <w:top w:w="0" w:type="dxa"/>
          <w:left w:w="108" w:type="dxa"/>
          <w:bottom w:w="0" w:type="dxa"/>
          <w:right w:w="108" w:type="dxa"/>
        </w:tblCellMar>
      </w:tblPr>
      <w:tblGrid>
        <w:gridCol w:w="2520"/>
        <w:gridCol w:w="3060"/>
        <w:gridCol w:w="3420"/>
      </w:tblGrid>
      <w:tr>
        <w:tblPrEx>
          <w:tblCellMar>
            <w:top w:w="0" w:type="dxa"/>
            <w:left w:w="108" w:type="dxa"/>
            <w:bottom w:w="0" w:type="dxa"/>
            <w:right w:w="108" w:type="dxa"/>
          </w:tblCellMar>
        </w:tblPrEx>
        <w:trPr>
          <w:trHeight w:val="397" w:hRule="atLeast"/>
        </w:trPr>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股东类型</w:t>
            </w:r>
          </w:p>
        </w:tc>
        <w:tc>
          <w:tcPr>
            <w:tcW w:w="306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202</w:t>
            </w:r>
            <w:r>
              <w:rPr>
                <w:rFonts w:hint="eastAsia" w:ascii="仿宋_GB2312" w:hAnsi="仿宋" w:eastAsia="仿宋_GB2312" w:cs="宋体"/>
                <w:color w:val="auto"/>
                <w:kern w:val="0"/>
                <w:sz w:val="24"/>
                <w:highlight w:val="none"/>
                <w:lang w:val="en-US" w:eastAsia="zh-CN"/>
              </w:rPr>
              <w:t>4</w:t>
            </w:r>
            <w:r>
              <w:rPr>
                <w:rFonts w:hint="eastAsia" w:ascii="仿宋_GB2312" w:hAnsi="仿宋" w:eastAsia="仿宋_GB2312" w:cs="宋体"/>
                <w:color w:val="auto"/>
                <w:kern w:val="0"/>
                <w:sz w:val="24"/>
                <w:highlight w:val="none"/>
              </w:rPr>
              <w:t>年末股本数</w:t>
            </w:r>
          </w:p>
        </w:tc>
        <w:tc>
          <w:tcPr>
            <w:tcW w:w="3420"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占总股本比例（%）</w:t>
            </w:r>
          </w:p>
        </w:tc>
      </w:tr>
      <w:tr>
        <w:tblPrEx>
          <w:tblCellMar>
            <w:top w:w="0" w:type="dxa"/>
            <w:left w:w="108" w:type="dxa"/>
            <w:bottom w:w="0" w:type="dxa"/>
            <w:right w:w="108" w:type="dxa"/>
          </w:tblCellMar>
        </w:tblPrEx>
        <w:trPr>
          <w:trHeight w:val="347" w:hRule="atLeast"/>
        </w:trPr>
        <w:tc>
          <w:tcPr>
            <w:tcW w:w="2520" w:type="dxa"/>
            <w:tcBorders>
              <w:top w:val="nil"/>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法人股</w:t>
            </w:r>
          </w:p>
        </w:tc>
        <w:tc>
          <w:tcPr>
            <w:tcW w:w="3060" w:type="dxa"/>
            <w:tcBorders>
              <w:top w:val="nil"/>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79489.96</w:t>
            </w:r>
          </w:p>
        </w:tc>
        <w:tc>
          <w:tcPr>
            <w:tcW w:w="3420" w:type="dxa"/>
            <w:tcBorders>
              <w:top w:val="nil"/>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rPr>
              <w:t>75.</w:t>
            </w:r>
            <w:r>
              <w:rPr>
                <w:rFonts w:hint="eastAsia" w:ascii="仿宋_GB2312" w:hAnsi="仿宋" w:eastAsia="仿宋_GB2312" w:cs="宋体"/>
                <w:color w:val="auto"/>
                <w:kern w:val="0"/>
                <w:sz w:val="24"/>
                <w:highlight w:val="none"/>
                <w:lang w:val="en-US" w:eastAsia="zh-CN"/>
              </w:rPr>
              <w:t>21</w:t>
            </w:r>
          </w:p>
        </w:tc>
      </w:tr>
      <w:tr>
        <w:tblPrEx>
          <w:tblCellMar>
            <w:top w:w="0" w:type="dxa"/>
            <w:left w:w="108" w:type="dxa"/>
            <w:bottom w:w="0" w:type="dxa"/>
            <w:right w:w="108" w:type="dxa"/>
          </w:tblCellMar>
        </w:tblPrEx>
        <w:trPr>
          <w:trHeight w:val="439" w:hRule="atLeast"/>
        </w:trPr>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非职工自然人股</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15319.16</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eastAsia="zh-CN"/>
              </w:rPr>
            </w:pPr>
            <w:r>
              <w:rPr>
                <w:rFonts w:hint="eastAsia" w:ascii="仿宋_GB2312" w:hAnsi="仿宋" w:eastAsia="仿宋_GB2312" w:cs="宋体"/>
                <w:color w:val="auto"/>
                <w:kern w:val="0"/>
                <w:sz w:val="24"/>
                <w:highlight w:val="none"/>
              </w:rPr>
              <w:t>14.4</w:t>
            </w:r>
            <w:r>
              <w:rPr>
                <w:rFonts w:hint="eastAsia" w:ascii="仿宋_GB2312" w:hAnsi="仿宋" w:eastAsia="仿宋_GB2312" w:cs="宋体"/>
                <w:color w:val="auto"/>
                <w:kern w:val="0"/>
                <w:sz w:val="24"/>
                <w:highlight w:val="none"/>
                <w:lang w:val="en-US" w:eastAsia="zh-CN"/>
              </w:rPr>
              <w:t>9</w:t>
            </w:r>
          </w:p>
        </w:tc>
      </w:tr>
      <w:tr>
        <w:tblPrEx>
          <w:tblCellMar>
            <w:top w:w="0" w:type="dxa"/>
            <w:left w:w="108" w:type="dxa"/>
            <w:bottom w:w="0" w:type="dxa"/>
            <w:right w:w="108" w:type="dxa"/>
          </w:tblCellMar>
        </w:tblPrEx>
        <w:trPr>
          <w:trHeight w:val="375" w:hRule="atLeast"/>
        </w:trPr>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职工自然人股</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10882.3</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10.3</w:t>
            </w:r>
          </w:p>
        </w:tc>
      </w:tr>
      <w:tr>
        <w:tblPrEx>
          <w:tblCellMar>
            <w:top w:w="0" w:type="dxa"/>
            <w:left w:w="108" w:type="dxa"/>
            <w:bottom w:w="0" w:type="dxa"/>
            <w:right w:w="108" w:type="dxa"/>
          </w:tblCellMar>
        </w:tblPrEx>
        <w:trPr>
          <w:trHeight w:val="298" w:hRule="atLeast"/>
        </w:trPr>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合计</w:t>
            </w:r>
          </w:p>
        </w:tc>
        <w:tc>
          <w:tcPr>
            <w:tcW w:w="306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lang w:val="en-US" w:eastAsia="zh-CN"/>
              </w:rPr>
              <w:t>105691.41</w:t>
            </w:r>
          </w:p>
        </w:tc>
        <w:tc>
          <w:tcPr>
            <w:tcW w:w="342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100.00</w:t>
            </w:r>
          </w:p>
        </w:tc>
      </w:tr>
    </w:tbl>
    <w:p>
      <w:pPr>
        <w:spacing w:line="540" w:lineRule="exact"/>
        <w:ind w:firstLine="640" w:firstLineChars="200"/>
        <w:rPr>
          <w:rFonts w:hint="eastAsia" w:ascii="仿宋_GB2312" w:hAnsi="仿宋" w:eastAsia="仿宋_GB2312"/>
          <w:b/>
          <w:color w:val="auto"/>
          <w:sz w:val="32"/>
          <w:szCs w:val="32"/>
          <w:highlight w:val="none"/>
        </w:rPr>
      </w:pP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.3  最大十户股东及持股情况</w:t>
      </w:r>
    </w:p>
    <w:p>
      <w:pPr>
        <w:spacing w:line="540" w:lineRule="exact"/>
        <w:ind w:firstLine="480" w:firstLineChars="200"/>
        <w:rPr>
          <w:rFonts w:hint="eastAsia" w:ascii="仿宋_GB2312" w:hAnsi="仿宋" w:eastAsia="仿宋_GB2312" w:cs="宋体"/>
          <w:color w:val="auto"/>
          <w:kern w:val="0"/>
          <w:sz w:val="24"/>
          <w:highlight w:val="none"/>
        </w:rPr>
      </w:pPr>
      <w:r>
        <w:rPr>
          <w:rFonts w:hint="eastAsia" w:ascii="仿宋" w:hAnsi="仿宋" w:eastAsia="仿宋" w:cs="宋体"/>
          <w:color w:val="auto"/>
          <w:kern w:val="0"/>
          <w:sz w:val="24"/>
          <w:highlight w:val="none"/>
        </w:rPr>
        <w:t xml:space="preserve">                                                      </w:t>
      </w:r>
      <w:r>
        <w:rPr>
          <w:rFonts w:hint="eastAsia" w:ascii="仿宋_GB2312" w:hAnsi="仿宋" w:eastAsia="仿宋_GB2312" w:cs="宋体"/>
          <w:color w:val="auto"/>
          <w:kern w:val="0"/>
          <w:sz w:val="24"/>
          <w:highlight w:val="none"/>
        </w:rPr>
        <w:t xml:space="preserve">   单位：万股、%</w:t>
      </w:r>
    </w:p>
    <w:tbl>
      <w:tblPr>
        <w:tblStyle w:val="9"/>
        <w:tblW w:w="9087" w:type="dxa"/>
        <w:tblInd w:w="93" w:type="dxa"/>
        <w:tblLayout w:type="fixed"/>
        <w:tblCellMar>
          <w:top w:w="0" w:type="dxa"/>
          <w:left w:w="108" w:type="dxa"/>
          <w:bottom w:w="0" w:type="dxa"/>
          <w:right w:w="108" w:type="dxa"/>
        </w:tblCellMar>
      </w:tblPr>
      <w:tblGrid>
        <w:gridCol w:w="738"/>
        <w:gridCol w:w="4875"/>
        <w:gridCol w:w="1733"/>
        <w:gridCol w:w="1741"/>
      </w:tblGrid>
      <w:tr>
        <w:tblPrEx>
          <w:tblCellMar>
            <w:top w:w="0" w:type="dxa"/>
            <w:left w:w="108" w:type="dxa"/>
            <w:bottom w:w="0" w:type="dxa"/>
            <w:right w:w="108" w:type="dxa"/>
          </w:tblCellMar>
        </w:tblPrEx>
        <w:trPr>
          <w:trHeight w:val="540" w:hRule="atLeast"/>
        </w:trPr>
        <w:tc>
          <w:tcPr>
            <w:tcW w:w="738"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序号</w:t>
            </w:r>
          </w:p>
        </w:tc>
        <w:tc>
          <w:tcPr>
            <w:tcW w:w="487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股东名称</w:t>
            </w:r>
          </w:p>
        </w:tc>
        <w:tc>
          <w:tcPr>
            <w:tcW w:w="1733"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持股数额</w:t>
            </w:r>
          </w:p>
        </w:tc>
        <w:tc>
          <w:tcPr>
            <w:tcW w:w="1741" w:type="dxa"/>
            <w:tcBorders>
              <w:top w:val="single" w:color="auto" w:sz="4" w:space="0"/>
              <w:left w:val="nil"/>
              <w:bottom w:val="single" w:color="auto" w:sz="4" w:space="0"/>
              <w:right w:val="single" w:color="auto" w:sz="4" w:space="0"/>
            </w:tcBorders>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持股比例（%）</w:t>
            </w:r>
          </w:p>
        </w:tc>
      </w:tr>
      <w:tr>
        <w:tblPrEx>
          <w:tblCellMar>
            <w:top w:w="0" w:type="dxa"/>
            <w:left w:w="108" w:type="dxa"/>
            <w:bottom w:w="0" w:type="dxa"/>
            <w:right w:w="108" w:type="dxa"/>
          </w:tblCellMar>
        </w:tblPrEx>
        <w:trPr>
          <w:trHeight w:val="515" w:hRule="atLeast"/>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1</w:t>
            </w:r>
          </w:p>
        </w:tc>
        <w:tc>
          <w:tcPr>
            <w:tcW w:w="48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萍乡市投资发展集团有限公司</w:t>
            </w:r>
          </w:p>
        </w:tc>
        <w:tc>
          <w:tcPr>
            <w:tcW w:w="173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18911.25</w:t>
            </w:r>
          </w:p>
        </w:tc>
        <w:tc>
          <w:tcPr>
            <w:tcW w:w="17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17.89</w:t>
            </w:r>
          </w:p>
        </w:tc>
      </w:tr>
      <w:tr>
        <w:tblPrEx>
          <w:tblCellMar>
            <w:top w:w="0" w:type="dxa"/>
            <w:left w:w="108" w:type="dxa"/>
            <w:bottom w:w="0" w:type="dxa"/>
            <w:right w:w="108" w:type="dxa"/>
          </w:tblCellMar>
        </w:tblPrEx>
        <w:trPr>
          <w:trHeight w:val="473" w:hRule="atLeast"/>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2</w:t>
            </w:r>
          </w:p>
        </w:tc>
        <w:tc>
          <w:tcPr>
            <w:tcW w:w="48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萍乡市汇盛工业投资管理有限公司</w:t>
            </w:r>
          </w:p>
        </w:tc>
        <w:tc>
          <w:tcPr>
            <w:tcW w:w="173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15651.58</w:t>
            </w:r>
          </w:p>
        </w:tc>
        <w:tc>
          <w:tcPr>
            <w:tcW w:w="17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14.81</w:t>
            </w:r>
          </w:p>
        </w:tc>
      </w:tr>
      <w:tr>
        <w:tblPrEx>
          <w:tblCellMar>
            <w:top w:w="0" w:type="dxa"/>
            <w:left w:w="108" w:type="dxa"/>
            <w:bottom w:w="0" w:type="dxa"/>
            <w:right w:w="108" w:type="dxa"/>
          </w:tblCellMar>
        </w:tblPrEx>
        <w:trPr>
          <w:trHeight w:val="473" w:hRule="atLeast"/>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3</w:t>
            </w:r>
          </w:p>
        </w:tc>
        <w:tc>
          <w:tcPr>
            <w:tcW w:w="48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萍乡市昌兴投资有限公司</w:t>
            </w:r>
          </w:p>
        </w:tc>
        <w:tc>
          <w:tcPr>
            <w:tcW w:w="1733"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10506.25</w:t>
            </w:r>
          </w:p>
        </w:tc>
        <w:tc>
          <w:tcPr>
            <w:tcW w:w="1741"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9.94</w:t>
            </w:r>
          </w:p>
        </w:tc>
      </w:tr>
      <w:tr>
        <w:tblPrEx>
          <w:tblCellMar>
            <w:top w:w="0" w:type="dxa"/>
            <w:left w:w="108" w:type="dxa"/>
            <w:bottom w:w="0" w:type="dxa"/>
            <w:right w:w="108" w:type="dxa"/>
          </w:tblCellMar>
        </w:tblPrEx>
        <w:trPr>
          <w:trHeight w:val="473" w:hRule="atLeast"/>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4</w:t>
            </w:r>
          </w:p>
        </w:tc>
        <w:tc>
          <w:tcPr>
            <w:tcW w:w="48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萍乡市汇翔建设发展有限公司</w:t>
            </w:r>
          </w:p>
        </w:tc>
        <w:tc>
          <w:tcPr>
            <w:tcW w:w="1733"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5184.26</w:t>
            </w:r>
          </w:p>
        </w:tc>
        <w:tc>
          <w:tcPr>
            <w:tcW w:w="1741"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4.91</w:t>
            </w:r>
          </w:p>
        </w:tc>
      </w:tr>
      <w:tr>
        <w:tblPrEx>
          <w:tblCellMar>
            <w:top w:w="0" w:type="dxa"/>
            <w:left w:w="108" w:type="dxa"/>
            <w:bottom w:w="0" w:type="dxa"/>
            <w:right w:w="108" w:type="dxa"/>
          </w:tblCellMar>
        </w:tblPrEx>
        <w:trPr>
          <w:trHeight w:val="473" w:hRule="atLeast"/>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5</w:t>
            </w:r>
          </w:p>
        </w:tc>
        <w:tc>
          <w:tcPr>
            <w:tcW w:w="48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萍乡市源晟贸易有限公司</w:t>
            </w:r>
          </w:p>
        </w:tc>
        <w:tc>
          <w:tcPr>
            <w:tcW w:w="1733"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3410.70</w:t>
            </w:r>
          </w:p>
        </w:tc>
        <w:tc>
          <w:tcPr>
            <w:tcW w:w="1741"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3.23</w:t>
            </w:r>
          </w:p>
        </w:tc>
      </w:tr>
      <w:tr>
        <w:tblPrEx>
          <w:tblCellMar>
            <w:top w:w="0" w:type="dxa"/>
            <w:left w:w="108" w:type="dxa"/>
            <w:bottom w:w="0" w:type="dxa"/>
            <w:right w:w="108" w:type="dxa"/>
          </w:tblCellMar>
        </w:tblPrEx>
        <w:trPr>
          <w:trHeight w:val="463" w:hRule="atLeast"/>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6</w:t>
            </w:r>
          </w:p>
        </w:tc>
        <w:tc>
          <w:tcPr>
            <w:tcW w:w="48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萍乡市湘旺投资有限公司</w:t>
            </w:r>
          </w:p>
        </w:tc>
        <w:tc>
          <w:tcPr>
            <w:tcW w:w="1733"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s="宋体"/>
                <w:color w:val="auto"/>
                <w:kern w:val="0"/>
                <w:sz w:val="24"/>
                <w:highlight w:val="none"/>
                <w:lang w:val="en-US"/>
              </w:rPr>
            </w:pPr>
            <w:r>
              <w:rPr>
                <w:rFonts w:hint="eastAsia" w:ascii="仿宋_GB2312" w:hAnsi="仿宋" w:eastAsia="仿宋_GB2312" w:cs="宋体"/>
                <w:color w:val="auto"/>
                <w:kern w:val="0"/>
                <w:sz w:val="24"/>
                <w:highlight w:val="none"/>
                <w:lang w:val="en-US" w:eastAsia="zh-CN"/>
              </w:rPr>
              <w:t>3076.85</w:t>
            </w:r>
          </w:p>
        </w:tc>
        <w:tc>
          <w:tcPr>
            <w:tcW w:w="1741"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2.91</w:t>
            </w:r>
          </w:p>
        </w:tc>
      </w:tr>
      <w:tr>
        <w:tblPrEx>
          <w:tblCellMar>
            <w:top w:w="0" w:type="dxa"/>
            <w:left w:w="108" w:type="dxa"/>
            <w:bottom w:w="0" w:type="dxa"/>
            <w:right w:w="108" w:type="dxa"/>
          </w:tblCellMar>
        </w:tblPrEx>
        <w:trPr>
          <w:trHeight w:val="463" w:hRule="atLeast"/>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7</w:t>
            </w:r>
          </w:p>
        </w:tc>
        <w:tc>
          <w:tcPr>
            <w:tcW w:w="48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江西省汇颐康贸易有限公司</w:t>
            </w:r>
          </w:p>
        </w:tc>
        <w:tc>
          <w:tcPr>
            <w:tcW w:w="1733"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s="宋体"/>
                <w:color w:val="auto"/>
                <w:kern w:val="0"/>
                <w:sz w:val="24"/>
                <w:highlight w:val="none"/>
                <w:lang w:val="en-US"/>
              </w:rPr>
            </w:pPr>
            <w:r>
              <w:rPr>
                <w:rFonts w:hint="eastAsia" w:ascii="仿宋_GB2312" w:hAnsi="仿宋" w:eastAsia="仿宋_GB2312" w:cs="宋体"/>
                <w:color w:val="auto"/>
                <w:kern w:val="0"/>
                <w:sz w:val="24"/>
                <w:highlight w:val="none"/>
                <w:lang w:val="en-US" w:eastAsia="zh-CN"/>
              </w:rPr>
              <w:t>2558.03</w:t>
            </w:r>
          </w:p>
        </w:tc>
        <w:tc>
          <w:tcPr>
            <w:tcW w:w="1741"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2.42</w:t>
            </w:r>
          </w:p>
        </w:tc>
      </w:tr>
      <w:tr>
        <w:tblPrEx>
          <w:tblCellMar>
            <w:top w:w="0" w:type="dxa"/>
            <w:left w:w="108" w:type="dxa"/>
            <w:bottom w:w="0" w:type="dxa"/>
            <w:right w:w="108" w:type="dxa"/>
          </w:tblCellMar>
        </w:tblPrEx>
        <w:trPr>
          <w:trHeight w:val="441" w:hRule="atLeast"/>
        </w:trPr>
        <w:tc>
          <w:tcPr>
            <w:tcW w:w="738" w:type="dxa"/>
            <w:tcBorders>
              <w:top w:val="nil"/>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8</w:t>
            </w:r>
          </w:p>
        </w:tc>
        <w:tc>
          <w:tcPr>
            <w:tcW w:w="4875" w:type="dxa"/>
            <w:tcBorders>
              <w:top w:val="nil"/>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萍乡萍钢安源钢铁有限公司</w:t>
            </w:r>
          </w:p>
        </w:tc>
        <w:tc>
          <w:tcPr>
            <w:tcW w:w="1733" w:type="dxa"/>
            <w:tcBorders>
              <w:top w:val="nil"/>
              <w:left w:val="nil"/>
              <w:bottom w:val="single" w:color="auto" w:sz="4" w:space="0"/>
              <w:right w:val="single" w:color="auto" w:sz="4" w:space="0"/>
            </w:tcBorders>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2137.37</w:t>
            </w:r>
          </w:p>
        </w:tc>
        <w:tc>
          <w:tcPr>
            <w:tcW w:w="1741" w:type="dxa"/>
            <w:tcBorders>
              <w:top w:val="nil"/>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2.02</w:t>
            </w:r>
          </w:p>
        </w:tc>
      </w:tr>
      <w:tr>
        <w:tblPrEx>
          <w:tblCellMar>
            <w:top w:w="0" w:type="dxa"/>
            <w:left w:w="108" w:type="dxa"/>
            <w:bottom w:w="0" w:type="dxa"/>
            <w:right w:w="108" w:type="dxa"/>
          </w:tblCellMar>
        </w:tblPrEx>
        <w:trPr>
          <w:trHeight w:val="461" w:hRule="atLeast"/>
        </w:trPr>
        <w:tc>
          <w:tcPr>
            <w:tcW w:w="7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9</w:t>
            </w:r>
          </w:p>
        </w:tc>
        <w:tc>
          <w:tcPr>
            <w:tcW w:w="48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江西天涯种业有限公司</w:t>
            </w:r>
          </w:p>
        </w:tc>
        <w:tc>
          <w:tcPr>
            <w:tcW w:w="1733"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1741.72</w:t>
            </w:r>
          </w:p>
        </w:tc>
        <w:tc>
          <w:tcPr>
            <w:tcW w:w="1741"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1.65</w:t>
            </w:r>
          </w:p>
        </w:tc>
      </w:tr>
      <w:tr>
        <w:tblPrEx>
          <w:tblCellMar>
            <w:top w:w="0" w:type="dxa"/>
            <w:left w:w="108" w:type="dxa"/>
            <w:bottom w:w="0" w:type="dxa"/>
            <w:right w:w="108" w:type="dxa"/>
          </w:tblCellMar>
        </w:tblPrEx>
        <w:trPr>
          <w:trHeight w:val="600" w:hRule="atLeast"/>
        </w:trPr>
        <w:tc>
          <w:tcPr>
            <w:tcW w:w="738"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仿宋_GB2312" w:hAnsi="仿宋" w:eastAsia="仿宋_GB2312" w:cs="宋体"/>
                <w:color w:val="auto"/>
                <w:kern w:val="0"/>
                <w:sz w:val="24"/>
                <w:highlight w:val="none"/>
                <w:lang w:val="en-US" w:eastAsia="zh-CN"/>
              </w:rPr>
            </w:pPr>
            <w:r>
              <w:rPr>
                <w:rFonts w:hint="eastAsia" w:ascii="仿宋_GB2312" w:hAnsi="仿宋" w:eastAsia="仿宋_GB2312" w:cs="宋体"/>
                <w:color w:val="auto"/>
                <w:kern w:val="0"/>
                <w:sz w:val="24"/>
                <w:highlight w:val="none"/>
              </w:rPr>
              <w:t xml:space="preserve"> </w:t>
            </w:r>
            <w:r>
              <w:rPr>
                <w:rFonts w:hint="eastAsia" w:ascii="仿宋_GB2312" w:hAnsi="仿宋" w:eastAsia="仿宋_GB2312" w:cs="宋体"/>
                <w:color w:val="auto"/>
                <w:kern w:val="0"/>
                <w:sz w:val="24"/>
                <w:highlight w:val="none"/>
                <w:lang w:val="en-US" w:eastAsia="zh-CN"/>
              </w:rPr>
              <w:t>10</w:t>
            </w:r>
          </w:p>
        </w:tc>
        <w:tc>
          <w:tcPr>
            <w:tcW w:w="487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萍乡市农业农村发展投资集团有限责任公司</w:t>
            </w:r>
          </w:p>
        </w:tc>
        <w:tc>
          <w:tcPr>
            <w:tcW w:w="1733"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lang w:val="en-US" w:eastAsia="zh-CN"/>
              </w:rPr>
              <w:t>1705.35</w:t>
            </w:r>
          </w:p>
        </w:tc>
        <w:tc>
          <w:tcPr>
            <w:tcW w:w="1741" w:type="dxa"/>
            <w:tcBorders>
              <w:top w:val="single" w:color="auto" w:sz="4" w:space="0"/>
              <w:left w:val="nil"/>
              <w:bottom w:val="single" w:color="auto" w:sz="4" w:space="0"/>
              <w:right w:val="single" w:color="auto" w:sz="4" w:space="0"/>
            </w:tcBorders>
            <w:vAlign w:val="center"/>
          </w:tcPr>
          <w:p>
            <w:pPr>
              <w:spacing w:line="540" w:lineRule="exact"/>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1.61</w:t>
            </w:r>
          </w:p>
        </w:tc>
      </w:tr>
    </w:tbl>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 xml:space="preserve">.4 </w:t>
      </w:r>
      <w:r>
        <w:rPr>
          <w:rFonts w:hint="eastAsia" w:ascii="仿宋_GB2312" w:hAnsi="仿宋" w:eastAsia="仿宋_GB2312"/>
          <w:color w:val="auto"/>
          <w:sz w:val="32"/>
          <w:szCs w:val="32"/>
          <w:highlight w:val="none"/>
          <w:lang w:val="en-US" w:eastAsia="zh-CN"/>
        </w:rPr>
        <w:t xml:space="preserve"> 持股比例在百分之五以上的股东及其持股变化情况</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萍乡市投资发展集团有限公司2024年12月31日持股189112500股，占比17.89%，较年初增加4612500股。萍乡市汇盛工业投资管理有限公司2024年12月31日持股156515779股，占比14.81%，较年初增加3817458股。萍乡市昌兴投资有限公司2024年12月31日持股105062500股，占比9.95%，较年初增加2562500股。</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5.5</w:t>
      </w:r>
      <w:r>
        <w:rPr>
          <w:rFonts w:hint="eastAsia"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rPr>
        <w:t>股权管理情况</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截至202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年12月31日，本行股本金总额105691.4125万股，股东总户数91</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rPr>
        <w:t>户。其中：法人股36户，金额79489.96万股；非职工自然人316户，金额15319.16万股；职工自然人567户，金额10882.3万股。</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（一）股权出质情况</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萍乡农商行出质股东共29户，占全部股东户数的3.16%；出质12663.86万股，占比11.98%。本行主要股东共5户，持股数为49887.64万股，其中出质1427.34万股。主要股东办理股权质押时均在国家企业信用信息公示系统中进行了实时登记和披露。</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（二）主要股东及其控股股东、实际控制人、关联方、一致行动人、最终受益人情况</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行通过对主要股东进行穿透性审查，主要股东股权结构、关联关系、其他利益相关方清晰透明。主要股东及其控股股东、实际控制人、关联方、一致行动人、最终受益人等不存在被列为相关部门失信联合惩戒对象；不存在严重逃废银行债务行为；不存在提供虚假材料或者作不实声明等其他可能对本行经营管理产生不利影响的情形。</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 xml:space="preserve">6 </w:t>
      </w:r>
      <w:r>
        <w:rPr>
          <w:rFonts w:hint="eastAsia" w:ascii="仿宋_GB2312" w:hAnsi="仿宋" w:eastAsia="仿宋_GB2312"/>
          <w:color w:val="auto"/>
          <w:sz w:val="32"/>
          <w:szCs w:val="32"/>
          <w:highlight w:val="none"/>
        </w:rPr>
        <w:t xml:space="preserve"> 关联交易情况</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关联交易主要是对本行内部人（本行董事、监事、高级管理人员）及其关联方、持股5%以上法人股东及其高管人员的贷款、银行承兑汇票及保证金差额部分的授信。根据关联交易管理相关规定，遵照穿透原则，建立全面、动态的关联方名单，截至2024年12月末，我行确认关联方820户，关联人783人，关联法人37户。2024年向关联方发放贷款527笔，贷款金额16159万元，其中，属于一般关联交易的527笔，交易金额16159万元，本年度没有发生重大关联交易。截至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年底，本行与全部关联方的贷款余额为54620.40 万元，占资本净额的</w:t>
      </w:r>
      <w:r>
        <w:rPr>
          <w:rFonts w:hint="eastAsia" w:ascii="仿宋_GB2312" w:hAnsi="仿宋" w:eastAsia="仿宋_GB2312"/>
          <w:color w:val="auto"/>
          <w:sz w:val="32"/>
          <w:szCs w:val="32"/>
          <w:highlight w:val="none"/>
          <w:lang w:val="en-US" w:eastAsia="zh-CN"/>
        </w:rPr>
        <w:t>37.28</w:t>
      </w:r>
      <w:r>
        <w:rPr>
          <w:rFonts w:hint="eastAsia" w:ascii="仿宋_GB2312" w:hAnsi="仿宋" w:eastAsia="仿宋_GB2312"/>
          <w:color w:val="auto"/>
          <w:sz w:val="32"/>
          <w:szCs w:val="32"/>
          <w:highlight w:val="none"/>
        </w:rPr>
        <w:t>%，相关指标均符合监管规定。本行与关联方的关联交易遵循商业原则，以不优于非关联方同类交易的条件进行，对于授信类的关联交易，依照有关授信定价管理办法，结合关联方客户的评级和风险情况确定相应价格，确保关联交易定价的合法性和公允性。</w:t>
      </w:r>
    </w:p>
    <w:p>
      <w:pPr>
        <w:spacing w:line="560" w:lineRule="exact"/>
        <w:ind w:firstLine="640" w:firstLineChars="200"/>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rPr>
        <w:t>、 董事会、监事会、高级管理层构成人员和员工情况</w:t>
      </w:r>
    </w:p>
    <w:p>
      <w:pPr>
        <w:tabs>
          <w:tab w:val="left" w:pos="1890"/>
        </w:tabs>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.1  董事会</w:t>
      </w:r>
      <w:r>
        <w:rPr>
          <w:rFonts w:hint="eastAsia" w:ascii="仿宋_GB2312" w:hAnsi="仿宋" w:eastAsia="仿宋_GB2312"/>
          <w:color w:val="auto"/>
          <w:sz w:val="32"/>
          <w:szCs w:val="32"/>
          <w:highlight w:val="none"/>
          <w:lang w:val="en-US" w:eastAsia="zh-CN"/>
        </w:rPr>
        <w:tab/>
      </w:r>
    </w:p>
    <w:tbl>
      <w:tblPr>
        <w:tblStyle w:val="9"/>
        <w:tblpPr w:leftFromText="180" w:rightFromText="180" w:vertAnchor="text" w:horzAnchor="page" w:tblpX="1500" w:tblpY="408"/>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54"/>
        <w:gridCol w:w="723"/>
        <w:gridCol w:w="4722"/>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7"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序号</w:t>
            </w:r>
          </w:p>
        </w:tc>
        <w:tc>
          <w:tcPr>
            <w:tcW w:w="1154"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姓名</w:t>
            </w:r>
          </w:p>
        </w:tc>
        <w:tc>
          <w:tcPr>
            <w:tcW w:w="723"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性别</w:t>
            </w:r>
          </w:p>
        </w:tc>
        <w:tc>
          <w:tcPr>
            <w:tcW w:w="4722"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现工作单位及职务</w:t>
            </w:r>
          </w:p>
        </w:tc>
        <w:tc>
          <w:tcPr>
            <w:tcW w:w="1784" w:type="dxa"/>
            <w:vAlign w:val="center"/>
          </w:tcPr>
          <w:p>
            <w:pPr>
              <w:widowControl/>
              <w:spacing w:line="540" w:lineRule="exact"/>
              <w:jc w:val="center"/>
              <w:rPr>
                <w:rFonts w:hint="eastAsia"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kern w:val="0"/>
                <w:sz w:val="24"/>
                <w:highlight w:val="none"/>
                <w:lang w:eastAsia="zh-CN"/>
              </w:rPr>
            </w:pPr>
            <w:r>
              <w:rPr>
                <w:rFonts w:hint="eastAsia" w:ascii="仿宋_GB2312" w:hAnsi="仿宋" w:eastAsia="仿宋_GB2312"/>
                <w:color w:val="auto"/>
                <w:kern w:val="0"/>
                <w:sz w:val="24"/>
                <w:highlight w:val="none"/>
                <w:lang w:val="en-US" w:eastAsia="zh-CN"/>
              </w:rPr>
              <w:t>1</w:t>
            </w:r>
          </w:p>
        </w:tc>
        <w:tc>
          <w:tcPr>
            <w:tcW w:w="115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刘光莹</w:t>
            </w:r>
          </w:p>
        </w:tc>
        <w:tc>
          <w:tcPr>
            <w:tcW w:w="72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s="宋体"/>
                <w:color w:val="auto"/>
                <w:kern w:val="0"/>
                <w:sz w:val="24"/>
                <w:highlight w:val="none"/>
              </w:rPr>
              <w:t>男</w:t>
            </w:r>
          </w:p>
        </w:tc>
        <w:tc>
          <w:tcPr>
            <w:tcW w:w="472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s="宋体"/>
                <w:color w:val="auto"/>
                <w:kern w:val="0"/>
                <w:sz w:val="24"/>
                <w:highlight w:val="none"/>
              </w:rPr>
              <w:t>萍乡农村商业银行股份有限公司</w:t>
            </w:r>
          </w:p>
        </w:tc>
        <w:tc>
          <w:tcPr>
            <w:tcW w:w="178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s="宋体"/>
                <w:color w:val="auto"/>
                <w:kern w:val="0"/>
                <w:sz w:val="24"/>
                <w:highlight w:val="none"/>
              </w:rPr>
              <w:t>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3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kern w:val="0"/>
                <w:sz w:val="24"/>
                <w:highlight w:val="none"/>
                <w:lang w:eastAsia="zh-CN"/>
              </w:rPr>
            </w:pPr>
            <w:r>
              <w:rPr>
                <w:rFonts w:hint="eastAsia" w:ascii="仿宋_GB2312" w:hAnsi="仿宋" w:eastAsia="仿宋_GB2312"/>
                <w:color w:val="auto"/>
                <w:kern w:val="0"/>
                <w:sz w:val="24"/>
                <w:highlight w:val="none"/>
                <w:lang w:val="en-US" w:eastAsia="zh-CN"/>
              </w:rPr>
              <w:t>2</w:t>
            </w:r>
          </w:p>
        </w:tc>
        <w:tc>
          <w:tcPr>
            <w:tcW w:w="115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余朝晖</w:t>
            </w:r>
          </w:p>
        </w:tc>
        <w:tc>
          <w:tcPr>
            <w:tcW w:w="72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男</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南昌大学经济管理学院副教授，硕士生导师；江西进贤农村商业银行股份有限公司独立董事</w:t>
            </w:r>
          </w:p>
        </w:tc>
        <w:tc>
          <w:tcPr>
            <w:tcW w:w="178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kern w:val="0"/>
                <w:sz w:val="24"/>
                <w:highlight w:val="none"/>
                <w:lang w:val="en-US" w:eastAsia="zh-CN"/>
              </w:rPr>
            </w:pPr>
            <w:r>
              <w:rPr>
                <w:rFonts w:hint="eastAsia" w:ascii="仿宋_GB2312" w:hAnsi="仿宋" w:eastAsia="仿宋_GB2312"/>
                <w:color w:val="auto"/>
                <w:kern w:val="0"/>
                <w:sz w:val="24"/>
                <w:highlight w:val="none"/>
                <w:lang w:val="en-US" w:eastAsia="zh-CN"/>
              </w:rPr>
              <w:t>3</w:t>
            </w:r>
          </w:p>
        </w:tc>
        <w:tc>
          <w:tcPr>
            <w:tcW w:w="115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贺</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妮</w:t>
            </w:r>
          </w:p>
        </w:tc>
        <w:tc>
          <w:tcPr>
            <w:tcW w:w="72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女</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江西图志律师事务所专职律师</w:t>
            </w:r>
          </w:p>
        </w:tc>
        <w:tc>
          <w:tcPr>
            <w:tcW w:w="178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kern w:val="0"/>
                <w:sz w:val="24"/>
                <w:highlight w:val="none"/>
                <w:lang w:eastAsia="zh-CN"/>
              </w:rPr>
            </w:pPr>
            <w:r>
              <w:rPr>
                <w:rFonts w:hint="eastAsia" w:ascii="仿宋_GB2312" w:hAnsi="仿宋" w:eastAsia="仿宋_GB2312"/>
                <w:color w:val="auto"/>
                <w:kern w:val="0"/>
                <w:sz w:val="24"/>
                <w:highlight w:val="none"/>
                <w:lang w:val="en-US" w:eastAsia="zh-CN"/>
              </w:rPr>
              <w:t>4</w:t>
            </w:r>
          </w:p>
        </w:tc>
        <w:tc>
          <w:tcPr>
            <w:tcW w:w="115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杨林初</w:t>
            </w:r>
          </w:p>
        </w:tc>
        <w:tc>
          <w:tcPr>
            <w:tcW w:w="72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男</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萍乡市湘东新村洗煤厂总经理</w:t>
            </w:r>
          </w:p>
        </w:tc>
        <w:tc>
          <w:tcPr>
            <w:tcW w:w="178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s="宋体"/>
                <w:color w:val="auto"/>
                <w:kern w:val="0"/>
                <w:sz w:val="24"/>
                <w:highlight w:val="none"/>
              </w:rPr>
            </w:pPr>
            <w:r>
              <w:rPr>
                <w:rFonts w:hint="eastAsia" w:ascii="仿宋_GB2312" w:hAnsi="仿宋" w:eastAsia="仿宋_GB2312"/>
                <w:color w:val="auto"/>
                <w:sz w:val="24"/>
                <w:highlight w:val="none"/>
              </w:rPr>
              <w:t>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3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kern w:val="0"/>
                <w:sz w:val="24"/>
                <w:highlight w:val="none"/>
                <w:lang w:eastAsia="zh-CN"/>
              </w:rPr>
            </w:pPr>
            <w:r>
              <w:rPr>
                <w:rFonts w:hint="eastAsia" w:ascii="仿宋_GB2312" w:hAnsi="仿宋" w:eastAsia="仿宋_GB2312"/>
                <w:color w:val="auto"/>
                <w:kern w:val="0"/>
                <w:sz w:val="24"/>
                <w:highlight w:val="none"/>
                <w:lang w:val="en-US" w:eastAsia="zh-CN"/>
              </w:rPr>
              <w:t>5</w:t>
            </w:r>
          </w:p>
        </w:tc>
        <w:tc>
          <w:tcPr>
            <w:tcW w:w="115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s="宋体"/>
                <w:color w:val="auto"/>
                <w:kern w:val="0"/>
                <w:sz w:val="24"/>
                <w:highlight w:val="none"/>
              </w:rPr>
              <w:t>张</w:t>
            </w:r>
            <w:r>
              <w:rPr>
                <w:rFonts w:hint="eastAsia" w:ascii="仿宋_GB2312" w:hAnsi="仿宋" w:eastAsia="仿宋_GB2312" w:cs="宋体"/>
                <w:color w:val="auto"/>
                <w:kern w:val="0"/>
                <w:sz w:val="24"/>
                <w:highlight w:val="none"/>
                <w:lang w:val="en-US" w:eastAsia="zh-CN"/>
              </w:rPr>
              <w:t xml:space="preserve"> </w:t>
            </w:r>
            <w:r>
              <w:rPr>
                <w:rFonts w:hint="eastAsia" w:ascii="仿宋_GB2312" w:hAnsi="仿宋" w:eastAsia="仿宋_GB2312" w:cs="宋体"/>
                <w:color w:val="auto"/>
                <w:kern w:val="0"/>
                <w:sz w:val="24"/>
                <w:highlight w:val="none"/>
              </w:rPr>
              <w:t>琴</w:t>
            </w:r>
          </w:p>
        </w:tc>
        <w:tc>
          <w:tcPr>
            <w:tcW w:w="72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s="宋体"/>
                <w:color w:val="auto"/>
                <w:kern w:val="0"/>
                <w:sz w:val="24"/>
                <w:highlight w:val="none"/>
              </w:rPr>
              <w:t>女</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s="宋体"/>
                <w:color w:val="auto"/>
                <w:kern w:val="0"/>
                <w:sz w:val="24"/>
                <w:highlight w:val="none"/>
              </w:rPr>
              <w:t>萍乡农村商业银行股份有限公司</w:t>
            </w:r>
          </w:p>
        </w:tc>
        <w:tc>
          <w:tcPr>
            <w:tcW w:w="178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s="宋体"/>
                <w:color w:val="auto"/>
                <w:kern w:val="0"/>
                <w:sz w:val="24"/>
                <w:highlight w:val="none"/>
              </w:rPr>
              <w:t>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3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kern w:val="0"/>
                <w:sz w:val="24"/>
                <w:highlight w:val="none"/>
                <w:lang w:eastAsia="zh-CN"/>
              </w:rPr>
            </w:pPr>
            <w:r>
              <w:rPr>
                <w:rFonts w:hint="eastAsia" w:ascii="仿宋_GB2312" w:hAnsi="仿宋" w:eastAsia="仿宋_GB2312"/>
                <w:color w:val="auto"/>
                <w:kern w:val="0"/>
                <w:sz w:val="24"/>
                <w:highlight w:val="none"/>
                <w:lang w:val="en-US" w:eastAsia="zh-CN"/>
              </w:rPr>
              <w:t>6</w:t>
            </w:r>
          </w:p>
        </w:tc>
        <w:tc>
          <w:tcPr>
            <w:tcW w:w="115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王</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勉</w:t>
            </w:r>
          </w:p>
        </w:tc>
        <w:tc>
          <w:tcPr>
            <w:tcW w:w="72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男</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萍乡市投资发展集团有限公司风险管控部副部长</w:t>
            </w:r>
          </w:p>
        </w:tc>
        <w:tc>
          <w:tcPr>
            <w:tcW w:w="178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kern w:val="0"/>
                <w:sz w:val="24"/>
                <w:highlight w:val="none"/>
                <w:lang w:eastAsia="zh-CN"/>
              </w:rPr>
            </w:pPr>
            <w:r>
              <w:rPr>
                <w:rFonts w:hint="eastAsia" w:ascii="仿宋_GB2312" w:hAnsi="仿宋" w:eastAsia="仿宋_GB2312"/>
                <w:color w:val="auto"/>
                <w:kern w:val="0"/>
                <w:sz w:val="24"/>
                <w:highlight w:val="none"/>
                <w:lang w:val="en-US" w:eastAsia="zh-CN"/>
              </w:rPr>
              <w:t>7</w:t>
            </w:r>
          </w:p>
        </w:tc>
        <w:tc>
          <w:tcPr>
            <w:tcW w:w="115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黄</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鑫</w:t>
            </w:r>
          </w:p>
        </w:tc>
        <w:tc>
          <w:tcPr>
            <w:tcW w:w="72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男</w:t>
            </w:r>
          </w:p>
        </w:tc>
        <w:tc>
          <w:tcPr>
            <w:tcW w:w="47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萍乡市汇盛工业投资管理有限公司副总经理</w:t>
            </w:r>
          </w:p>
        </w:tc>
        <w:tc>
          <w:tcPr>
            <w:tcW w:w="178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3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kern w:val="0"/>
                <w:sz w:val="24"/>
                <w:highlight w:val="none"/>
                <w:lang w:eastAsia="zh-CN"/>
              </w:rPr>
            </w:pPr>
            <w:r>
              <w:rPr>
                <w:rFonts w:hint="eastAsia" w:ascii="仿宋_GB2312" w:hAnsi="仿宋" w:eastAsia="仿宋_GB2312"/>
                <w:color w:val="auto"/>
                <w:kern w:val="0"/>
                <w:sz w:val="24"/>
                <w:highlight w:val="none"/>
                <w:lang w:val="en-US" w:eastAsia="zh-CN"/>
              </w:rPr>
              <w:t>8</w:t>
            </w:r>
          </w:p>
        </w:tc>
        <w:tc>
          <w:tcPr>
            <w:tcW w:w="115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刘建祥</w:t>
            </w:r>
          </w:p>
        </w:tc>
        <w:tc>
          <w:tcPr>
            <w:tcW w:w="72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男</w:t>
            </w:r>
          </w:p>
        </w:tc>
        <w:tc>
          <w:tcPr>
            <w:tcW w:w="472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2"/>
                <w:highlight w:val="none"/>
              </w:rPr>
            </w:pPr>
            <w:r>
              <w:rPr>
                <w:rFonts w:hint="eastAsia" w:ascii="仿宋_GB2312" w:hAnsi="仿宋" w:eastAsia="仿宋_GB2312"/>
                <w:color w:val="auto"/>
                <w:sz w:val="24"/>
                <w:highlight w:val="none"/>
              </w:rPr>
              <w:t>萍乡市安源投资有限公司董事长、总经理</w:t>
            </w:r>
          </w:p>
        </w:tc>
        <w:tc>
          <w:tcPr>
            <w:tcW w:w="1784"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董事</w:t>
            </w:r>
          </w:p>
        </w:tc>
      </w:tr>
    </w:tbl>
    <w:p>
      <w:pPr>
        <w:spacing w:line="5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.2  监事会</w:t>
      </w:r>
    </w:p>
    <w:tbl>
      <w:tblPr>
        <w:tblStyle w:val="9"/>
        <w:tblW w:w="898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20"/>
        <w:gridCol w:w="709"/>
        <w:gridCol w:w="4111"/>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09" w:type="dxa"/>
            <w:vAlign w:val="center"/>
          </w:tcPr>
          <w:p>
            <w:pPr>
              <w:widowControl/>
              <w:spacing w:line="540" w:lineRule="exact"/>
              <w:jc w:val="center"/>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序号</w:t>
            </w:r>
          </w:p>
        </w:tc>
        <w:tc>
          <w:tcPr>
            <w:tcW w:w="1020" w:type="dxa"/>
            <w:vAlign w:val="center"/>
          </w:tcPr>
          <w:p>
            <w:pPr>
              <w:widowControl/>
              <w:spacing w:line="540" w:lineRule="exact"/>
              <w:jc w:val="center"/>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姓名</w:t>
            </w:r>
          </w:p>
        </w:tc>
        <w:tc>
          <w:tcPr>
            <w:tcW w:w="709" w:type="dxa"/>
            <w:vAlign w:val="center"/>
          </w:tcPr>
          <w:p>
            <w:pPr>
              <w:widowControl/>
              <w:spacing w:line="540" w:lineRule="exact"/>
              <w:jc w:val="center"/>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性别</w:t>
            </w:r>
          </w:p>
        </w:tc>
        <w:tc>
          <w:tcPr>
            <w:tcW w:w="4111" w:type="dxa"/>
            <w:vAlign w:val="center"/>
          </w:tcPr>
          <w:p>
            <w:pPr>
              <w:widowControl/>
              <w:spacing w:line="540" w:lineRule="exact"/>
              <w:jc w:val="center"/>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现工作单位及职务</w:t>
            </w:r>
          </w:p>
        </w:tc>
        <w:tc>
          <w:tcPr>
            <w:tcW w:w="2431" w:type="dxa"/>
            <w:vAlign w:val="center"/>
          </w:tcPr>
          <w:p>
            <w:pPr>
              <w:widowControl/>
              <w:spacing w:line="540" w:lineRule="exact"/>
              <w:jc w:val="center"/>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9" w:type="dxa"/>
            <w:vAlign w:val="center"/>
          </w:tcPr>
          <w:p>
            <w:pPr>
              <w:widowControl/>
              <w:spacing w:line="540" w:lineRule="exact"/>
              <w:jc w:val="center"/>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1</w:t>
            </w:r>
          </w:p>
        </w:tc>
        <w:tc>
          <w:tcPr>
            <w:tcW w:w="1020"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余卫萍</w:t>
            </w:r>
          </w:p>
        </w:tc>
        <w:tc>
          <w:tcPr>
            <w:tcW w:w="709"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男</w:t>
            </w:r>
          </w:p>
        </w:tc>
        <w:tc>
          <w:tcPr>
            <w:tcW w:w="4111"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萍乡农村商业银行股份有限公司</w:t>
            </w:r>
          </w:p>
        </w:tc>
        <w:tc>
          <w:tcPr>
            <w:tcW w:w="2431"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监事长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9" w:type="dxa"/>
            <w:vAlign w:val="center"/>
          </w:tcPr>
          <w:p>
            <w:pPr>
              <w:widowControl/>
              <w:spacing w:line="540" w:lineRule="exact"/>
              <w:jc w:val="center"/>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2</w:t>
            </w:r>
          </w:p>
        </w:tc>
        <w:tc>
          <w:tcPr>
            <w:tcW w:w="1020"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李南萍</w:t>
            </w:r>
          </w:p>
        </w:tc>
        <w:tc>
          <w:tcPr>
            <w:tcW w:w="709"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女</w:t>
            </w:r>
          </w:p>
        </w:tc>
        <w:tc>
          <w:tcPr>
            <w:tcW w:w="4111"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萍乡农村商业银行股份有限公司</w:t>
            </w:r>
          </w:p>
        </w:tc>
        <w:tc>
          <w:tcPr>
            <w:tcW w:w="2431"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9" w:type="dxa"/>
            <w:vAlign w:val="center"/>
          </w:tcPr>
          <w:p>
            <w:pPr>
              <w:widowControl/>
              <w:spacing w:line="540" w:lineRule="exact"/>
              <w:jc w:val="center"/>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3</w:t>
            </w:r>
          </w:p>
        </w:tc>
        <w:tc>
          <w:tcPr>
            <w:tcW w:w="1020"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黎</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斌</w:t>
            </w:r>
          </w:p>
        </w:tc>
        <w:tc>
          <w:tcPr>
            <w:tcW w:w="709"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男</w:t>
            </w:r>
          </w:p>
        </w:tc>
        <w:tc>
          <w:tcPr>
            <w:tcW w:w="4111"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萍乡市湘东区国有资产服务中心主任</w:t>
            </w:r>
          </w:p>
        </w:tc>
        <w:tc>
          <w:tcPr>
            <w:tcW w:w="2431"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Align w:val="center"/>
          </w:tcPr>
          <w:p>
            <w:pPr>
              <w:widowControl/>
              <w:spacing w:line="540" w:lineRule="exact"/>
              <w:jc w:val="center"/>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4</w:t>
            </w:r>
          </w:p>
        </w:tc>
        <w:tc>
          <w:tcPr>
            <w:tcW w:w="1020"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刘绍勇</w:t>
            </w:r>
          </w:p>
        </w:tc>
        <w:tc>
          <w:tcPr>
            <w:tcW w:w="709"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男</w:t>
            </w:r>
          </w:p>
        </w:tc>
        <w:tc>
          <w:tcPr>
            <w:tcW w:w="4111"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萍乡市鹏翔物资有限公司董事长</w:t>
            </w:r>
          </w:p>
        </w:tc>
        <w:tc>
          <w:tcPr>
            <w:tcW w:w="2431"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9" w:type="dxa"/>
            <w:vAlign w:val="center"/>
          </w:tcPr>
          <w:p>
            <w:pPr>
              <w:widowControl/>
              <w:spacing w:line="540" w:lineRule="exact"/>
              <w:jc w:val="center"/>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5</w:t>
            </w:r>
          </w:p>
        </w:tc>
        <w:tc>
          <w:tcPr>
            <w:tcW w:w="1020"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张少虎</w:t>
            </w:r>
          </w:p>
        </w:tc>
        <w:tc>
          <w:tcPr>
            <w:tcW w:w="709"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男</w:t>
            </w:r>
          </w:p>
        </w:tc>
        <w:tc>
          <w:tcPr>
            <w:tcW w:w="4111"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江西天涯种业有限公司董事长</w:t>
            </w:r>
          </w:p>
        </w:tc>
        <w:tc>
          <w:tcPr>
            <w:tcW w:w="2431" w:type="dxa"/>
            <w:vAlign w:val="center"/>
          </w:tcPr>
          <w:p>
            <w:pPr>
              <w:spacing w:line="540" w:lineRule="exact"/>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监事</w:t>
            </w:r>
          </w:p>
        </w:tc>
      </w:tr>
    </w:tbl>
    <w:p>
      <w:pPr>
        <w:spacing w:line="5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.3  高级管理层</w:t>
      </w:r>
    </w:p>
    <w:tbl>
      <w:tblPr>
        <w:tblStyle w:val="9"/>
        <w:tblW w:w="9066" w:type="dxa"/>
        <w:tblInd w:w="108" w:type="dxa"/>
        <w:tblLayout w:type="fixed"/>
        <w:tblCellMar>
          <w:top w:w="0" w:type="dxa"/>
          <w:left w:w="108" w:type="dxa"/>
          <w:bottom w:w="0" w:type="dxa"/>
          <w:right w:w="108" w:type="dxa"/>
        </w:tblCellMar>
      </w:tblPr>
      <w:tblGrid>
        <w:gridCol w:w="709"/>
        <w:gridCol w:w="1134"/>
        <w:gridCol w:w="851"/>
        <w:gridCol w:w="1626"/>
        <w:gridCol w:w="4746"/>
      </w:tblGrid>
      <w:tr>
        <w:tblPrEx>
          <w:tblCellMar>
            <w:top w:w="0" w:type="dxa"/>
            <w:left w:w="108" w:type="dxa"/>
            <w:bottom w:w="0" w:type="dxa"/>
            <w:right w:w="108" w:type="dxa"/>
          </w:tblCellMar>
        </w:tblPrEx>
        <w:trPr>
          <w:trHeight w:val="720"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序号</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姓名</w:t>
            </w:r>
          </w:p>
        </w:tc>
        <w:tc>
          <w:tcPr>
            <w:tcW w:w="8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性别</w:t>
            </w:r>
          </w:p>
        </w:tc>
        <w:tc>
          <w:tcPr>
            <w:tcW w:w="16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职务</w:t>
            </w:r>
          </w:p>
        </w:tc>
        <w:tc>
          <w:tcPr>
            <w:tcW w:w="47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工作范围</w:t>
            </w:r>
          </w:p>
        </w:tc>
      </w:tr>
      <w:tr>
        <w:tblPrEx>
          <w:tblCellMar>
            <w:top w:w="0" w:type="dxa"/>
            <w:left w:w="108" w:type="dxa"/>
            <w:bottom w:w="0" w:type="dxa"/>
            <w:right w:w="108" w:type="dxa"/>
          </w:tblCellMar>
        </w:tblPrEx>
        <w:trPr>
          <w:trHeight w:val="1266"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lang w:val="en-US" w:eastAsia="zh-CN"/>
              </w:rPr>
              <w:t>1</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刘光莹</w:t>
            </w:r>
          </w:p>
        </w:tc>
        <w:tc>
          <w:tcPr>
            <w:tcW w:w="8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男</w:t>
            </w:r>
          </w:p>
        </w:tc>
        <w:tc>
          <w:tcPr>
            <w:tcW w:w="16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行  长</w:t>
            </w:r>
          </w:p>
        </w:tc>
        <w:tc>
          <w:tcPr>
            <w:tcW w:w="474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主持经营工作，并组织履行经营班子职责；分管计划财务部、清收事业部、资金业务管理部、授信评审部。</w:t>
            </w:r>
          </w:p>
        </w:tc>
      </w:tr>
      <w:tr>
        <w:tblPrEx>
          <w:tblCellMar>
            <w:top w:w="0" w:type="dxa"/>
            <w:left w:w="108" w:type="dxa"/>
            <w:bottom w:w="0" w:type="dxa"/>
            <w:right w:w="108" w:type="dxa"/>
          </w:tblCellMar>
        </w:tblPrEx>
        <w:trPr>
          <w:trHeight w:val="595" w:hRule="atLeast"/>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段</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rPr>
              <w:t>莉</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女</w:t>
            </w: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副行长</w:t>
            </w:r>
          </w:p>
        </w:tc>
        <w:tc>
          <w:tcPr>
            <w:tcW w:w="4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分管办公室、信贷管理部、风险管理部、业务拓展部、基建办。</w:t>
            </w:r>
          </w:p>
        </w:tc>
      </w:tr>
    </w:tbl>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.4  员工情况</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bCs/>
          <w:color w:val="auto"/>
          <w:sz w:val="32"/>
          <w:szCs w:val="32"/>
          <w:highlight w:val="none"/>
          <w:lang w:val="en-US" w:eastAsia="zh-CN"/>
        </w:rPr>
        <w:t>2024年末共有员工484名，其中职员434人、代办员20人，工勤人员2人,劳务派遣人员28人</w:t>
      </w:r>
      <w:r>
        <w:rPr>
          <w:rFonts w:hint="eastAsia" w:ascii="仿宋_GB2312" w:hAnsi="仿宋" w:eastAsia="仿宋_GB2312"/>
          <w:color w:val="auto"/>
          <w:sz w:val="32"/>
          <w:szCs w:val="32"/>
          <w:highlight w:val="none"/>
        </w:rPr>
        <w:t>。</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.5  薪酬情况</w:t>
      </w:r>
    </w:p>
    <w:p>
      <w:pPr>
        <w:spacing w:line="560" w:lineRule="exact"/>
        <w:ind w:firstLine="640" w:firstLineChars="200"/>
        <w:rPr>
          <w:rFonts w:hint="eastAsia" w:ascii="仿宋_GB2312" w:hAnsi="仿宋" w:eastAsia="仿宋_GB2312"/>
          <w:bCs/>
          <w:color w:val="auto"/>
          <w:sz w:val="32"/>
          <w:szCs w:val="32"/>
          <w:highlight w:val="none"/>
          <w:lang w:val="en-US" w:eastAsia="zh-CN"/>
        </w:rPr>
      </w:pPr>
      <w:r>
        <w:rPr>
          <w:rFonts w:hint="eastAsia" w:ascii="仿宋_GB2312" w:hAnsi="仿宋" w:eastAsia="仿宋_GB2312"/>
          <w:bCs/>
          <w:color w:val="auto"/>
          <w:sz w:val="32"/>
          <w:szCs w:val="32"/>
          <w:highlight w:val="none"/>
          <w:lang w:val="en-US" w:eastAsia="zh-CN"/>
        </w:rPr>
        <w:t>本行制定了薪酬管理实施细则，明确了薪酬管理应遵循的原则、员工薪酬的构成等。本行建立了提名与薪酬委员会，由独立董事贺妮担任主任委员。提名与薪酬委员会主要负责拟定董事和高级管理层成员的选任程序和标准，对董事和高级管理层成员的任职资格进行初步审核，并向董事会提出建议；审议全行薪酬管理制度和政策，拟定董事和高级管理层成员的薪酬方案，向董事会提出薪酬方案建议，并监督方案实施。本行2024年度薪酬总额10103万元，其中基本薪酬3013.93万元，占薪酬总额29.83%，受益人为本行所有员工。高级管理人员薪酬总额为299.64万元，高级管理人员的绩效薪酬根据年度经营考核结果核定，未高于其基本薪酬的3倍。在薪酬与业绩衡量上，根据监管要求，结合我行实际，制定了薪酬分配方案，其中合规经营类指标权重27.5%，风险管理类指标权重为23.5%。合规经营类指标和风险管理类指标权重明显高于其他类指标。无超出原定薪酬方案的例外情况。2024年度本行薪酬延期支付总额为401.06万元，对2021-2023年度三年的延期支付各按1/3的比例兑付，兑付总额为379.45万元，并根据审计结果和本行绩效薪酬延期支付和追索扣回管理办法要求，追索扣回金额为7.22万元。</w:t>
      </w:r>
    </w:p>
    <w:p>
      <w:pPr>
        <w:numPr>
          <w:ilvl w:val="0"/>
          <w:numId w:val="1"/>
        </w:numPr>
        <w:tabs>
          <w:tab w:val="left" w:pos="1890"/>
        </w:tabs>
        <w:spacing w:line="560" w:lineRule="exact"/>
        <w:ind w:firstLine="640" w:firstLineChars="200"/>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公司治理</w:t>
      </w:r>
    </w:p>
    <w:p>
      <w:pPr>
        <w:spacing w:line="560" w:lineRule="exact"/>
        <w:ind w:firstLine="640" w:firstLineChars="200"/>
        <w:rPr>
          <w:rFonts w:hint="eastAsia" w:ascii="仿宋_GB2312" w:eastAsia="仿宋_GB2312"/>
          <w:sz w:val="32"/>
          <w:szCs w:val="32"/>
        </w:rPr>
      </w:pPr>
      <w:r>
        <w:rPr>
          <w:rFonts w:hint="eastAsia" w:ascii="仿宋_GB2312" w:hAnsi="仿宋" w:eastAsia="仿宋_GB2312"/>
          <w:color w:val="auto"/>
          <w:sz w:val="32"/>
          <w:szCs w:val="32"/>
          <w:highlight w:val="none"/>
          <w:lang w:val="en-US" w:eastAsia="zh-CN"/>
        </w:rPr>
        <w:t>7</w:t>
      </w:r>
      <w:r>
        <w:rPr>
          <w:rFonts w:hint="eastAsia" w:ascii="仿宋_GB2312" w:hAnsi="仿宋" w:eastAsia="仿宋_GB2312"/>
          <w:bCs/>
          <w:color w:val="auto"/>
          <w:sz w:val="32"/>
          <w:szCs w:val="32"/>
          <w:highlight w:val="none"/>
          <w:lang w:val="en-US" w:eastAsia="zh-CN"/>
        </w:rPr>
        <w:t>.1  股东大会</w:t>
      </w:r>
      <w:r>
        <w:rPr>
          <w:rFonts w:hint="eastAsia" w:ascii="仿宋_GB2312" w:hAnsi="仿宋" w:eastAsia="仿宋_GB2312"/>
          <w:b/>
          <w:color w:val="auto"/>
          <w:sz w:val="32"/>
          <w:szCs w:val="32"/>
          <w:highlight w:val="none"/>
        </w:rPr>
        <w:t>。</w:t>
      </w:r>
      <w:r>
        <w:rPr>
          <w:rFonts w:hint="eastAsia" w:ascii="仿宋_GB2312" w:hAnsi="仿宋" w:eastAsia="仿宋_GB2312"/>
          <w:color w:val="auto"/>
          <w:sz w:val="32"/>
          <w:szCs w:val="32"/>
          <w:highlight w:val="none"/>
        </w:rPr>
        <w:t>严格按照《公司法》及有关法规召集、召开股东大会，实行律师见证制度，并由律师出具法律意见书，保证股东依法行使权利。股东大会是本行的权力机构。股东大会依法行使</w:t>
      </w:r>
      <w:r>
        <w:rPr>
          <w:rFonts w:hint="eastAsia" w:ascii="仿宋_GB2312" w:hAnsi="仿宋" w:eastAsia="仿宋_GB2312"/>
          <w:color w:val="auto"/>
          <w:sz w:val="32"/>
          <w:szCs w:val="32"/>
          <w:highlight w:val="none"/>
          <w:lang w:val="en-US" w:eastAsia="zh-CN"/>
        </w:rPr>
        <w:t>以</w:t>
      </w:r>
      <w:r>
        <w:rPr>
          <w:rFonts w:hint="eastAsia" w:ascii="仿宋_GB2312" w:hAnsi="仿宋" w:eastAsia="仿宋_GB2312"/>
          <w:color w:val="auto"/>
          <w:sz w:val="32"/>
          <w:szCs w:val="32"/>
          <w:highlight w:val="none"/>
        </w:rPr>
        <w:t>下职权：制定和修改本行章程</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审议批准本行发展规划，决定本行经营方针和投资计划</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选举和更换董事、非职工监事</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审议批准董事会、监事会的工作报告</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审议批准本行的年度财务预算方案、决算方案、利润分配方案、弥补亏损、股权激励计划方案</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对本行增加或者减少注册资本，依照法律规定对收购本行股份作出决议</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对本行合并、分立、解散、清算或者变更组织形式等事项作出决议</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对发行本行债券作出决议</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对本行上市作出决议</w:t>
      </w:r>
      <w:r>
        <w:rPr>
          <w:rFonts w:hint="eastAsia" w:ascii="仿宋_GB2312" w:hAnsi="仿宋" w:eastAsia="仿宋_GB2312"/>
          <w:color w:val="auto"/>
          <w:sz w:val="32"/>
          <w:szCs w:val="32"/>
          <w:highlight w:val="none"/>
          <w:lang w:eastAsia="zh-CN"/>
        </w:rPr>
        <w:t>；</w:t>
      </w:r>
      <w:r>
        <w:rPr>
          <w:rFonts w:hint="eastAsia" w:ascii="仿宋_GB2312" w:eastAsia="仿宋_GB2312"/>
          <w:sz w:val="32"/>
          <w:szCs w:val="32"/>
        </w:rPr>
        <w:t>对聘用或解聘为公司财务报告进行定期法定审计的会计师事务所作出决议</w:t>
      </w:r>
      <w:r>
        <w:rPr>
          <w:rFonts w:hint="eastAsia" w:ascii="仿宋_GB2312" w:eastAsia="仿宋_GB2312"/>
          <w:sz w:val="32"/>
          <w:szCs w:val="32"/>
          <w:lang w:eastAsia="zh-CN"/>
        </w:rPr>
        <w:t>；</w:t>
      </w:r>
      <w:r>
        <w:rPr>
          <w:rFonts w:hint="eastAsia" w:ascii="仿宋_GB2312" w:eastAsia="仿宋_GB2312"/>
          <w:sz w:val="32"/>
          <w:szCs w:val="32"/>
        </w:rPr>
        <w:t>审议并批准涉及全体股东利益的重大制度、基本制度、股东大会议事规则、董事会和监事会议事规则，审议批准有关董事、监事薪酬制度，明确董事、监事的薪酬或津贴标准，审议或批准其他须由股东大会审议或批准的重大制度</w:t>
      </w:r>
      <w:r>
        <w:rPr>
          <w:rFonts w:hint="eastAsia" w:ascii="仿宋_GB2312" w:eastAsia="仿宋_GB2312"/>
          <w:sz w:val="32"/>
          <w:szCs w:val="32"/>
          <w:lang w:eastAsia="zh-CN"/>
        </w:rPr>
        <w:t>；</w:t>
      </w:r>
      <w:r>
        <w:rPr>
          <w:rFonts w:hint="eastAsia" w:ascii="仿宋_GB2312" w:eastAsia="仿宋_GB2312"/>
          <w:sz w:val="32"/>
          <w:szCs w:val="32"/>
        </w:rPr>
        <w:t>审议批准法律法规、监管规定或者本章程规定的应当由股东大会决定的其他事项。</w:t>
      </w:r>
      <w:r>
        <w:rPr>
          <w:rFonts w:hint="eastAsia" w:ascii="仿宋_GB2312" w:hAnsi="仿宋_GB2312" w:eastAsia="仿宋_GB2312" w:cs="仿宋_GB2312"/>
          <w:bCs/>
          <w:color w:val="auto"/>
          <w:sz w:val="32"/>
          <w:szCs w:val="32"/>
          <w:highlight w:val="none"/>
        </w:rPr>
        <w:t>202</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lang w:val="en-US" w:eastAsia="zh-CN"/>
        </w:rPr>
        <w:t>11</w:t>
      </w:r>
      <w:r>
        <w:rPr>
          <w:rFonts w:hint="eastAsia" w:ascii="仿宋_GB2312" w:hAnsi="仿宋_GB2312" w:eastAsia="仿宋_GB2312" w:cs="仿宋_GB2312"/>
          <w:bCs/>
          <w:color w:val="auto"/>
          <w:sz w:val="32"/>
          <w:szCs w:val="32"/>
          <w:highlight w:val="none"/>
        </w:rPr>
        <w:t>月2</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lang w:val="en-US" w:eastAsia="zh-CN"/>
        </w:rPr>
        <w:t>在本行五楼会议室</w:t>
      </w:r>
      <w:r>
        <w:rPr>
          <w:rFonts w:hint="eastAsia" w:ascii="仿宋_GB2312" w:hAnsi="仿宋_GB2312" w:eastAsia="仿宋_GB2312" w:cs="仿宋_GB2312"/>
          <w:bCs/>
          <w:color w:val="auto"/>
          <w:sz w:val="32"/>
          <w:szCs w:val="32"/>
          <w:highlight w:val="none"/>
        </w:rPr>
        <w:t>召开202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年度股东大会。</w:t>
      </w:r>
      <w:r>
        <w:rPr>
          <w:rFonts w:hint="eastAsia" w:ascii="仿宋_GB2312" w:hAnsi="仿宋_GB2312" w:eastAsia="仿宋_GB2312" w:cs="仿宋_GB2312"/>
          <w:bCs/>
          <w:color w:val="auto"/>
          <w:sz w:val="32"/>
          <w:szCs w:val="32"/>
          <w:highlight w:val="none"/>
          <w:lang w:val="en-US" w:eastAsia="zh-CN"/>
        </w:rPr>
        <w:t>实到股东（含代理人）86人，所持有股权数84960.4664万股，占全部股份的82.4%，其中有效表决权数为76317.4935万股，占全部有效表决权股份的84.22%，</w:t>
      </w:r>
      <w:r>
        <w:rPr>
          <w:rFonts w:hint="eastAsia" w:ascii="仿宋_GB2312" w:hAnsi="仿宋_GB2312" w:eastAsia="仿宋_GB2312" w:cs="仿宋_GB2312"/>
          <w:bCs/>
          <w:color w:val="auto"/>
          <w:sz w:val="32"/>
          <w:szCs w:val="32"/>
          <w:highlight w:val="none"/>
        </w:rPr>
        <w:t>会议审议通过了《</w:t>
      </w:r>
      <w:r>
        <w:rPr>
          <w:rFonts w:hint="eastAsia" w:ascii="仿宋_GB2312" w:hAnsi="仿宋_GB2312" w:eastAsia="仿宋_GB2312" w:cs="仿宋_GB2312"/>
          <w:color w:val="auto"/>
          <w:sz w:val="32"/>
          <w:szCs w:val="32"/>
          <w:highlight w:val="none"/>
        </w:rPr>
        <w:t>萍乡农村商业银行股份有限公司202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年度董事会工作报告》《萍乡农村商业银行股份有限公司202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年度监事会工作报告》《萍乡农村商业银行股份有限公司202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年度财务决算报告》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萍乡农村商业银行股份有限公司202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年度利润分配方案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《萍乡农村商业银行股份有限公司202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年度财务预算报告》《关于授权董事会处置萍乡农村商业银行股份有限公司持有江西省联社股金的议案》</w:t>
      </w:r>
      <w:r>
        <w:rPr>
          <w:rFonts w:hint="eastAsia" w:ascii="仿宋_GB2312" w:hAnsi="仿宋_GB2312" w:eastAsia="仿宋_GB2312" w:cs="仿宋_GB2312"/>
          <w:bCs/>
          <w:color w:val="auto"/>
          <w:sz w:val="32"/>
          <w:szCs w:val="32"/>
          <w:highlight w:val="none"/>
        </w:rPr>
        <w:t>等议案。</w:t>
      </w:r>
    </w:p>
    <w:p>
      <w:pPr>
        <w:spacing w:line="540" w:lineRule="exact"/>
        <w:ind w:firstLine="640" w:firstLineChars="200"/>
        <w:rPr>
          <w:rFonts w:hint="eastAsia" w:ascii="仿宋_GB2312" w:hAnsi="仿宋" w:eastAsia="仿宋_GB2312"/>
          <w:bCs/>
          <w:color w:val="auto"/>
          <w:sz w:val="32"/>
          <w:szCs w:val="32"/>
          <w:highlight w:val="none"/>
          <w:lang w:val="en-US" w:eastAsia="zh-CN"/>
        </w:rPr>
      </w:pPr>
      <w:r>
        <w:rPr>
          <w:rFonts w:hint="eastAsia" w:ascii="仿宋_GB2312" w:hAnsi="仿宋" w:eastAsia="仿宋_GB2312"/>
          <w:bCs/>
          <w:color w:val="auto"/>
          <w:sz w:val="32"/>
          <w:szCs w:val="32"/>
          <w:highlight w:val="none"/>
          <w:lang w:val="en-US" w:eastAsia="zh-CN"/>
        </w:rPr>
        <w:t>7.2董事会</w:t>
      </w:r>
      <w:r>
        <w:rPr>
          <w:rFonts w:hint="eastAsia" w:ascii="仿宋_GB2312" w:hAnsi="仿宋" w:eastAsia="仿宋_GB2312"/>
          <w:bCs/>
          <w:color w:val="auto"/>
          <w:sz w:val="32"/>
          <w:szCs w:val="32"/>
          <w:highlight w:val="none"/>
          <w:lang w:val="en-US" w:eastAsia="zh-CN"/>
        </w:rPr>
        <w:tab/>
      </w:r>
    </w:p>
    <w:p>
      <w:pPr>
        <w:spacing w:line="560" w:lineRule="exact"/>
        <w:ind w:firstLine="640" w:firstLineChars="200"/>
        <w:rPr>
          <w:rFonts w:hint="eastAsia" w:ascii="仿宋_GB2312" w:hAnsi="仿宋" w:eastAsia="仿宋_GB2312"/>
          <w:color w:val="auto"/>
          <w:kern w:val="0"/>
          <w:sz w:val="32"/>
          <w:szCs w:val="32"/>
          <w:highlight w:val="none"/>
          <w:shd w:val="clear" w:color="auto" w:fill="auto"/>
          <w:lang w:val="en-US" w:eastAsia="zh-CN"/>
        </w:rPr>
      </w:pPr>
      <w:r>
        <w:rPr>
          <w:rFonts w:hint="eastAsia" w:ascii="仿宋_GB2312" w:hAnsi="仿宋" w:eastAsia="仿宋_GB2312"/>
          <w:bCs/>
          <w:color w:val="auto"/>
          <w:sz w:val="32"/>
          <w:szCs w:val="32"/>
          <w:highlight w:val="none"/>
          <w:shd w:val="clear" w:color="auto" w:fill="auto"/>
        </w:rPr>
        <w:t>本行</w:t>
      </w:r>
      <w:r>
        <w:rPr>
          <w:rFonts w:hint="eastAsia" w:ascii="仿宋_GB2312" w:hAnsi="仿宋" w:eastAsia="仿宋_GB2312"/>
          <w:color w:val="auto"/>
          <w:sz w:val="32"/>
          <w:szCs w:val="32"/>
          <w:highlight w:val="none"/>
          <w:shd w:val="clear" w:color="auto" w:fill="auto"/>
        </w:rPr>
        <w:t>董事会由9名董事组成，设董事长1人，</w:t>
      </w:r>
      <w:r>
        <w:rPr>
          <w:rFonts w:hint="eastAsia" w:ascii="仿宋_GB2312" w:hAnsi="仿宋" w:eastAsia="仿宋_GB2312"/>
          <w:color w:val="auto"/>
          <w:kern w:val="0"/>
          <w:sz w:val="32"/>
          <w:szCs w:val="32"/>
          <w:highlight w:val="none"/>
          <w:shd w:val="clear" w:color="auto" w:fill="auto"/>
        </w:rPr>
        <w:t>其中职工董事</w:t>
      </w:r>
      <w:r>
        <w:rPr>
          <w:rFonts w:hint="eastAsia" w:ascii="仿宋_GB2312" w:hAnsi="仿宋" w:eastAsia="仿宋_GB2312"/>
          <w:color w:val="auto"/>
          <w:sz w:val="32"/>
          <w:szCs w:val="32"/>
          <w:highlight w:val="none"/>
          <w:shd w:val="clear" w:color="auto" w:fill="auto"/>
        </w:rPr>
        <w:t>3</w:t>
      </w:r>
      <w:r>
        <w:rPr>
          <w:rFonts w:hint="eastAsia" w:ascii="仿宋_GB2312" w:hAnsi="仿宋" w:eastAsia="仿宋_GB2312"/>
          <w:color w:val="auto"/>
          <w:kern w:val="0"/>
          <w:sz w:val="32"/>
          <w:szCs w:val="32"/>
          <w:highlight w:val="none"/>
          <w:shd w:val="clear" w:color="auto" w:fill="auto"/>
        </w:rPr>
        <w:t>人，外部董事</w:t>
      </w:r>
      <w:r>
        <w:rPr>
          <w:rFonts w:hint="eastAsia" w:ascii="仿宋_GB2312" w:hAnsi="仿宋" w:eastAsia="仿宋_GB2312"/>
          <w:color w:val="auto"/>
          <w:sz w:val="32"/>
          <w:szCs w:val="32"/>
          <w:highlight w:val="none"/>
          <w:shd w:val="clear" w:color="auto" w:fill="auto"/>
        </w:rPr>
        <w:t>6</w:t>
      </w:r>
      <w:r>
        <w:rPr>
          <w:rFonts w:hint="eastAsia" w:ascii="仿宋_GB2312" w:hAnsi="仿宋" w:eastAsia="仿宋_GB2312"/>
          <w:color w:val="auto"/>
          <w:kern w:val="0"/>
          <w:sz w:val="32"/>
          <w:szCs w:val="32"/>
          <w:highlight w:val="none"/>
          <w:shd w:val="clear" w:color="auto" w:fill="auto"/>
        </w:rPr>
        <w:t>人（含独立董事3名）</w:t>
      </w:r>
      <w:r>
        <w:rPr>
          <w:rFonts w:hint="eastAsia" w:ascii="仿宋_GB2312" w:hAnsi="仿宋" w:eastAsia="仿宋_GB2312"/>
          <w:color w:val="auto"/>
          <w:sz w:val="32"/>
          <w:szCs w:val="32"/>
          <w:highlight w:val="none"/>
          <w:shd w:val="clear" w:color="auto" w:fill="auto"/>
        </w:rPr>
        <w:t>，</w:t>
      </w:r>
      <w:r>
        <w:rPr>
          <w:rFonts w:hint="eastAsia" w:ascii="仿宋_GB2312" w:hAnsi="仿宋" w:eastAsia="仿宋_GB2312"/>
          <w:color w:val="auto"/>
          <w:kern w:val="0"/>
          <w:sz w:val="32"/>
          <w:szCs w:val="32"/>
          <w:highlight w:val="none"/>
          <w:shd w:val="clear" w:color="auto" w:fill="auto"/>
        </w:rPr>
        <w:t>各位董事忠实、诚信、勤勉履行职责。董事会按照《公司法》《萍乡农村商业银行有限公司章程》及相关法律法规的要求，认真履行章程赋予的工作职责，忠实执行股东大会通过的各项决议，不断提高董事会决策的科学性，领导各专门委员会按照相应的工作制度规范运作。</w:t>
      </w:r>
      <w:r>
        <w:rPr>
          <w:rFonts w:hint="eastAsia" w:ascii="仿宋_GB2312" w:hAnsi="仿宋" w:eastAsia="仿宋_GB2312"/>
          <w:color w:val="auto"/>
          <w:kern w:val="0"/>
          <w:sz w:val="32"/>
          <w:szCs w:val="32"/>
          <w:highlight w:val="none"/>
          <w:shd w:val="clear" w:color="auto" w:fill="auto"/>
          <w:lang w:val="en-US" w:eastAsia="zh-CN"/>
        </w:rPr>
        <w:t xml:space="preserve"> </w:t>
      </w:r>
    </w:p>
    <w:p>
      <w:pPr>
        <w:spacing w:line="560" w:lineRule="exact"/>
        <w:ind w:firstLine="640" w:firstLineChars="200"/>
        <w:rPr>
          <w:rFonts w:hint="eastAsia" w:ascii="仿宋_GB2312" w:hAnsi="仿宋" w:eastAsia="仿宋_GB2312"/>
          <w:bCs/>
          <w:color w:val="auto"/>
          <w:sz w:val="32"/>
          <w:szCs w:val="32"/>
          <w:highlight w:val="none"/>
        </w:rPr>
      </w:pPr>
      <w:r>
        <w:rPr>
          <w:rFonts w:hint="eastAsia" w:ascii="仿宋_GB2312" w:eastAsia="仿宋_GB2312"/>
          <w:sz w:val="32"/>
          <w:szCs w:val="32"/>
          <w:shd w:val="clear" w:color="auto" w:fill="auto"/>
        </w:rPr>
        <w:t>董事会行使</w:t>
      </w:r>
      <w:r>
        <w:rPr>
          <w:rFonts w:hint="eastAsia" w:ascii="仿宋_GB2312" w:eastAsia="仿宋_GB2312"/>
          <w:sz w:val="32"/>
          <w:szCs w:val="32"/>
          <w:shd w:val="clear" w:color="auto" w:fill="auto"/>
          <w:lang w:val="en-US" w:eastAsia="zh-CN"/>
        </w:rPr>
        <w:t>以</w:t>
      </w:r>
      <w:r>
        <w:rPr>
          <w:rFonts w:hint="eastAsia" w:ascii="仿宋_GB2312" w:eastAsia="仿宋_GB2312"/>
          <w:sz w:val="32"/>
          <w:szCs w:val="32"/>
          <w:shd w:val="clear" w:color="auto" w:fill="auto"/>
        </w:rPr>
        <w:t>下职权：负责召集股东大会，并向大会报告工作；执行股东大会的决议；确定本行的经营发展战略并监督战略的实施，决定本行的经营计划和投资方案，制定支农支小发展战略；制订本行的年度财务预算方案、决算方案、审慎利润分配方案（将主要股东以书面形式向我行作出在必要时向我行补充资本的长期承诺作为需要考虑的主要因素）和弥补亏损方案；制订本行增加或者减少注册资本、发行债券或者其他证券及上市的方案，制定资本规划（包含主要股东以书面形式向本行作出在必要时向本行补充资本的长期承诺的内容），承担资本或偿付能力管理最终责任；拟订本行重大收购、收购本行股份或者合并、分立、解散、清算和变更公司形式的方案；审议批准本行重大对外投资、资产购置、资产处置与核销、资产抵押、关联交易等事项；决定本行内部管理机构及非法人分支机构的设置；聘任或者解聘本行行长、董事会秘书；根据行长的提名，聘任或者解聘本行副行长、内审部门负责人、财务部门负责人、合规部门负责人；确定本行的风险容忍度、风险管理和内部控制政策；董事会对本行全面风险管理承担最终责任；制订本行章程的修改方案，制订涉及全体股东利益的重大制度、基本制度、股东大会议事规则、董事会议事规则、董事薪酬制度；审议并批准不涉及全体股东利益的重大制度、基本制度以及董事会专门委员、董事长办公会议事规则、行长办公会议事规则；制订高级管理层履职问责制度；审议或批准对经营活动有重要影响的具体制度,以及其他须由董事会审议或批准的制度</w:t>
      </w:r>
      <w:r>
        <w:rPr>
          <w:rFonts w:hint="eastAsia" w:ascii="仿宋_GB2312" w:eastAsia="仿宋_GB2312"/>
          <w:sz w:val="32"/>
          <w:szCs w:val="32"/>
          <w:shd w:val="clear" w:color="auto" w:fill="auto"/>
          <w:lang w:eastAsia="zh-CN"/>
        </w:rPr>
        <w:t>；</w:t>
      </w:r>
      <w:r>
        <w:rPr>
          <w:rFonts w:hint="eastAsia" w:ascii="仿宋_GB2312" w:eastAsia="仿宋_GB2312"/>
          <w:sz w:val="32"/>
          <w:szCs w:val="32"/>
          <w:shd w:val="clear" w:color="auto" w:fill="auto"/>
        </w:rPr>
        <w:t>负责本行的信息披露，并对本行的会计和财务报告的真实性、准确性、完整性和及时性承担最终责任；提请股东大会聘用或者解聘为本行财务报告进行定期法定审计的会计师事务所；听取本行行长的工作汇报并检查行长的工作；通报银行保险业监督管理机构对本行的监管意见及本行执行整改情况；向股东大会报告董事会对董事包括独立董事的履职评价结果，报经股东大会审议批准；按照监管规定，聘任或者解聘高级管理人员，并决定其报酬、奖惩事项，监督本行高级管理层的履职情况，确保高级管理层有效履行管理职责；制订股权激励方案；定期评估并完善银行本行公司治理；维护金融消费者和其他利益相关者合法权益；建立本行与股东特别是主要股东之间利益冲突的识别、审查和管理机制；承担股东事务的管理责任；法律、法规或本行章程规定，以及股东大会授予或者监管部门要求董事会行使的其他职权。</w:t>
      </w:r>
      <w:r>
        <w:rPr>
          <w:rFonts w:hint="eastAsia" w:ascii="仿宋_GB2312" w:hAnsi="仿宋" w:eastAsia="仿宋_GB2312"/>
          <w:color w:val="auto"/>
          <w:sz w:val="32"/>
          <w:szCs w:val="32"/>
          <w:highlight w:val="none"/>
          <w:shd w:val="clear" w:color="auto" w:fill="auto"/>
          <w:lang w:val="en-US" w:eastAsia="zh-CN"/>
        </w:rPr>
        <w:t>20</w:t>
      </w:r>
      <w:r>
        <w:rPr>
          <w:rFonts w:hint="eastAsia" w:ascii="仿宋_GB2312" w:hAnsi="仿宋" w:eastAsia="仿宋_GB2312"/>
          <w:color w:val="auto"/>
          <w:sz w:val="32"/>
          <w:szCs w:val="32"/>
          <w:highlight w:val="none"/>
          <w:lang w:val="en-US" w:eastAsia="zh-CN"/>
        </w:rPr>
        <w:t>24年共召开董事会会议4次，均在本行四楼会议室召开。</w:t>
      </w:r>
      <w:r>
        <w:rPr>
          <w:rFonts w:hint="eastAsia" w:ascii="仿宋_GB2312" w:hAnsi="仿宋" w:eastAsia="仿宋_GB2312" w:cs="仿宋"/>
          <w:color w:val="auto"/>
          <w:sz w:val="32"/>
          <w:szCs w:val="32"/>
          <w:highlight w:val="none"/>
          <w:lang w:val="en-US" w:eastAsia="zh-CN"/>
        </w:rPr>
        <w:t>2024年3月28日，召开了第二届董事会第18次会议，会</w:t>
      </w:r>
      <w:r>
        <w:rPr>
          <w:rFonts w:hint="eastAsia" w:ascii="仿宋_GB2312" w:hAnsi="仿宋" w:eastAsia="仿宋_GB2312"/>
          <w:color w:val="auto"/>
          <w:sz w:val="32"/>
          <w:szCs w:val="32"/>
          <w:highlight w:val="none"/>
          <w:lang w:val="en-US" w:eastAsia="zh-CN"/>
        </w:rPr>
        <w:t>议审议通过了《</w:t>
      </w:r>
      <w:r>
        <w:rPr>
          <w:rFonts w:hint="eastAsia" w:ascii="仿宋_GB2312" w:hAnsi="仿宋" w:eastAsia="仿宋_GB2312"/>
          <w:color w:val="auto"/>
          <w:sz w:val="32"/>
          <w:szCs w:val="32"/>
          <w:highlight w:val="none"/>
          <w:lang w:val="zh-CN"/>
        </w:rPr>
        <w:t>萍乡农村商业银行股份有限公司202</w:t>
      </w: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zh-CN"/>
        </w:rPr>
        <w:t>年度董事会工作报告</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val="zh-CN"/>
        </w:rPr>
        <w:t>萍乡农村商业银行股份有限公司202</w:t>
      </w: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zh-CN"/>
        </w:rPr>
        <w:t>年度信息披露报告</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萍乡农村商业银行股份有限公司2023年经营情况报告</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萍乡农村商业银行股份有限公司（2024年—2026年）三年发展规划</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萍乡农商银行2023年度大股东及主要股东相关情况评估报告</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萍乡农商银行2023年度反洗钱和反恐怖融资工作报告</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萍乡农商银行2023年度关联交易报告</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eastAsia="zh-CN"/>
        </w:rPr>
        <w:t>关于发放关联交易贷款的议案》《萍乡农商银行2023年数据治理工作开展情况报告》</w:t>
      </w:r>
      <w:r>
        <w:rPr>
          <w:rFonts w:hint="eastAsia" w:ascii="仿宋_GB2312" w:hAnsi="仿宋" w:eastAsia="仿宋_GB2312"/>
          <w:color w:val="auto"/>
          <w:sz w:val="32"/>
          <w:szCs w:val="32"/>
          <w:highlight w:val="none"/>
          <w:lang w:val="en-US" w:eastAsia="zh-CN"/>
        </w:rPr>
        <w:t>等议案。2024年6月27日，召开了第二届董事会第19次会议，会议审议通过了《</w:t>
      </w:r>
      <w:r>
        <w:rPr>
          <w:rFonts w:hint="eastAsia" w:ascii="仿宋_GB2312" w:hAnsi="仿宋" w:eastAsia="仿宋_GB2312"/>
          <w:color w:val="auto"/>
          <w:sz w:val="32"/>
          <w:szCs w:val="32"/>
          <w:highlight w:val="none"/>
        </w:rPr>
        <w:t>萍乡农村商业银行股份有限公司</w:t>
      </w:r>
      <w:r>
        <w:rPr>
          <w:rFonts w:hint="eastAsia" w:ascii="仿宋_GB2312" w:hAnsi="仿宋" w:eastAsia="仿宋_GB2312"/>
          <w:color w:val="auto"/>
          <w:sz w:val="32"/>
          <w:szCs w:val="32"/>
          <w:highlight w:val="none"/>
          <w:lang w:val="en-US" w:eastAsia="zh-CN"/>
        </w:rPr>
        <w:t>2024年一季度经营形势分析报告》《</w:t>
      </w:r>
      <w:r>
        <w:rPr>
          <w:rFonts w:hint="eastAsia" w:ascii="仿宋_GB2312" w:hAnsi="仿宋" w:eastAsia="仿宋_GB2312"/>
          <w:color w:val="auto"/>
          <w:sz w:val="32"/>
          <w:szCs w:val="32"/>
          <w:highlight w:val="none"/>
        </w:rPr>
        <w:t>关于授权处置萍乡农村商业银行股份有限公司持有江西省联社股金的议案</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萍乡农村商业银行股份有限公司202</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年度财务决算报告</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萍乡农村商业银行股份有限公司202</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年度利润分配方案</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萍乡农村商业银行股份有限公司202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年财务预算报告</w:t>
      </w:r>
      <w:r>
        <w:rPr>
          <w:rFonts w:hint="eastAsia" w:ascii="仿宋_GB2312" w:hAnsi="仿宋" w:eastAsia="仿宋_GB2312"/>
          <w:color w:val="auto"/>
          <w:sz w:val="32"/>
          <w:szCs w:val="32"/>
          <w:highlight w:val="none"/>
          <w:lang w:val="en-US" w:eastAsia="zh-CN"/>
        </w:rPr>
        <w:t>》《关于分设风险合规部的议案》《</w:t>
      </w:r>
      <w:r>
        <w:rPr>
          <w:rFonts w:hint="eastAsia" w:ascii="仿宋_GB2312" w:hAnsi="仿宋" w:eastAsia="仿宋_GB2312"/>
          <w:color w:val="auto"/>
          <w:sz w:val="32"/>
          <w:szCs w:val="32"/>
          <w:highlight w:val="none"/>
          <w:lang w:val="zh-CN" w:eastAsia="zh-CN"/>
        </w:rPr>
        <w:t>萍乡农商银行2023年度全面审计工作情况报告</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val="zh-CN" w:eastAsia="zh-CN"/>
        </w:rPr>
        <w:t>萍乡农商银行2024年审计工作意见</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val="zh-CN" w:eastAsia="zh-CN"/>
        </w:rPr>
        <w:t>萍乡农商银行2023年金融消费者权益保护专项审计报告</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val="zh-CN" w:eastAsia="zh-CN"/>
        </w:rPr>
        <w:t>萍乡农商银行关联交易专项审计报告</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lang w:val="zh-CN" w:eastAsia="zh-CN"/>
        </w:rPr>
        <w:t>萍乡农商银行开展洗钱和恐怖融资风险自评估工作方案</w:t>
      </w:r>
      <w:r>
        <w:rPr>
          <w:rFonts w:hint="eastAsia" w:ascii="仿宋_GB2312" w:hAnsi="仿宋" w:eastAsia="仿宋_GB2312"/>
          <w:color w:val="auto"/>
          <w:sz w:val="32"/>
          <w:szCs w:val="32"/>
          <w:highlight w:val="none"/>
          <w:lang w:val="en-US" w:eastAsia="zh-CN"/>
        </w:rPr>
        <w:t>》等议案。2024年9月2日，召开了第二届董事会第20次会议，会议审议通过了《关于处置持有江西省联社股金的议案》《萍乡农村商业银行股份有限公司2023年金融消费者权益保护工作报告(草案）》等议案。2024年11月22日，召开了第二届董事会第21次会议，会议审议通过了《萍乡农村商业银行股份有限公司2023年度利润分配方案（修订）》《萍乡农村商业银行股份有限公司2024年前三季度经营情况报告》《关于监管部门对萍乡农商银行提出的审慎监管会谈纪要和监管意见的报告》《萍乡农村商业银行股份有限公司2023年案防工作报告》《萍乡农村商业银行股份有限公司2023年度业务连续性评估报告》《萍乡农村商业银行股份有限公司2023年风险管理报告》《萍乡农村商业银行股份有限公司2023年流动性压力测试开展情况报告》《萍乡农村商业银行股份有限公司2023年内部控制评价报告》《萍乡农村商业银行股份有限公司2023年内部资本充足评估报告》《萍乡农村商业银行股份有限公司2024年公司治理专项审计报告》《萍乡农村商业银行股份有限公司2024年金融资产风险分类真实性专项审计报告》《萍乡农村商业银行股份有限公司2023年度绩效考核审计报告》《萍乡农村商业银行股份有限公司2024年流动性风险管理专项审计报告》《萍乡农村商业银行股份有限公司财务管理专项审计报告》《萍乡农村商业银行股份有限公司2023年度柜面操作风险审计报告》《萍乡农村商业银行股份有限公司2023年度反洗钱专项审计报告》《关于解聘肖鹏副行长职务的议案》《关于同意曹新建同志辞去董事长及相关职务的议案》《萍乡农商银行审计部门负责人履职尽责考核情况报告》《关于授权风险处置委员会处理</w:t>
      </w:r>
      <w:r>
        <w:rPr>
          <w:rFonts w:hint="eastAsia" w:ascii="仿宋_GB2312" w:hAnsi="仿宋" w:eastAsia="仿宋_GB2312" w:cs="仿宋"/>
          <w:color w:val="auto"/>
          <w:sz w:val="32"/>
          <w:szCs w:val="32"/>
          <w:highlight w:val="none"/>
          <w:lang w:val="en-US" w:eastAsia="zh-CN"/>
        </w:rPr>
        <w:t>贷款调整相关事宜的议案》</w:t>
      </w:r>
      <w:r>
        <w:rPr>
          <w:rFonts w:hint="eastAsia" w:ascii="仿宋_GB2312" w:hAnsi="仿宋" w:eastAsia="仿宋_GB2312"/>
          <w:bCs/>
          <w:color w:val="auto"/>
          <w:sz w:val="32"/>
          <w:szCs w:val="32"/>
          <w:highlight w:val="none"/>
        </w:rPr>
        <w:t>等议案。</w:t>
      </w:r>
    </w:p>
    <w:p>
      <w:pPr>
        <w:spacing w:line="540" w:lineRule="exact"/>
        <w:ind w:firstLine="640" w:firstLineChars="200"/>
        <w:rPr>
          <w:rFonts w:hint="eastAsia" w:ascii="仿宋_GB2312" w:hAnsi="仿宋" w:eastAsia="仿宋_GB2312"/>
          <w:bCs/>
          <w:color w:val="auto"/>
          <w:sz w:val="32"/>
          <w:szCs w:val="32"/>
          <w:highlight w:val="none"/>
          <w:lang w:val="en-US" w:eastAsia="zh-CN"/>
        </w:rPr>
      </w:pPr>
      <w:r>
        <w:rPr>
          <w:rFonts w:hint="eastAsia" w:ascii="仿宋_GB2312" w:hAnsi="仿宋" w:eastAsia="仿宋_GB2312"/>
          <w:bCs/>
          <w:color w:val="auto"/>
          <w:sz w:val="32"/>
          <w:szCs w:val="32"/>
          <w:highlight w:val="none"/>
          <w:lang w:val="en-US" w:eastAsia="zh-CN"/>
        </w:rPr>
        <w:t>7.3  监事会</w:t>
      </w:r>
    </w:p>
    <w:p>
      <w:pPr>
        <w:spacing w:line="54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bCs/>
          <w:color w:val="auto"/>
          <w:sz w:val="32"/>
          <w:szCs w:val="32"/>
          <w:highlight w:val="none"/>
        </w:rPr>
        <w:t>本行监</w:t>
      </w:r>
      <w:r>
        <w:rPr>
          <w:rFonts w:hint="eastAsia" w:ascii="仿宋_GB2312" w:hAnsi="仿宋" w:eastAsia="仿宋_GB2312"/>
          <w:color w:val="auto"/>
          <w:sz w:val="32"/>
          <w:szCs w:val="32"/>
          <w:highlight w:val="none"/>
        </w:rPr>
        <w:t>事会由5名监事组成，设监事长1人，其中职工监事2人，股东监事1人，外部监事2人。监事会按照法律法规及</w:t>
      </w:r>
      <w:r>
        <w:rPr>
          <w:rFonts w:hint="eastAsia" w:ascii="仿宋_GB2312" w:hAnsi="仿宋" w:eastAsia="仿宋_GB2312"/>
          <w:color w:val="auto"/>
          <w:kern w:val="0"/>
          <w:sz w:val="32"/>
          <w:szCs w:val="32"/>
          <w:highlight w:val="none"/>
        </w:rPr>
        <w:t>《萍乡农村商业银行股份有限公司章程》</w:t>
      </w:r>
      <w:r>
        <w:rPr>
          <w:rFonts w:hint="eastAsia" w:ascii="仿宋_GB2312" w:hAnsi="仿宋" w:eastAsia="仿宋_GB2312"/>
          <w:color w:val="auto"/>
          <w:sz w:val="32"/>
          <w:szCs w:val="32"/>
          <w:highlight w:val="none"/>
        </w:rPr>
        <w:t>规定，认真履行股东大会赋予的职责，紧紧围绕制度规范、资产质量、财务管理、业务操作流程的合规性、合法性和风险防范等工作重心，对经营活动以及高管人员履职的合规合法性进行监督，维护公司和股东的合法权益。</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eastAsia="仿宋_GB2312"/>
          <w:sz w:val="32"/>
          <w:szCs w:val="32"/>
          <w:shd w:val="clear" w:color="auto" w:fill="auto"/>
        </w:rPr>
        <w:t>监事会行使下列职权：监督董事会、高级管理人员履行职责情况，监督董事会确立稳健的经营理念、价值准则和制定符合公司情况的发展战略；要求董事、董事长及高级管理人员纠正其损害本行利益的行为；对董事的选聘程序进行监督，对董事和高级管理人员进行专项审计和离任审计；对董事、董事长及高级管理人员进行质询；检查监督本行的财务活动；对本行的经营决策、风险管理和内部控制等进行监督检查并督促整改；对本行发展战略的科学性、合理性和稳健性进行评估，形成评估报告；对本行薪酬管理制度实施情况及高级管理人员薪酬方案的科学性、合理性进行监督；制订监事会议事规则、监事薪酬制度；制定董事、监事及高级管理层履职评价制度；审议并批准监事会专门委员会议事规则；监督制度的制定与完善；监督制度的实施；监督其他制度管理情况；提议召开临时股东大会；其他法律、法规、规章及本章程规定应当由监事会行使的职权。</w:t>
      </w:r>
      <w:r>
        <w:rPr>
          <w:rFonts w:hint="eastAsia" w:ascii="仿宋_GB2312" w:hAnsi="仿宋" w:eastAsia="仿宋_GB2312"/>
          <w:color w:val="auto"/>
          <w:sz w:val="32"/>
          <w:szCs w:val="32"/>
          <w:highlight w:val="none"/>
          <w:lang w:val="en-US" w:eastAsia="zh-CN"/>
        </w:rPr>
        <w:t>2024年共召开监事会会议4次。2024年3月29日,召开第二届监事会第14次会议，会议审议通过了《萍乡农村商业银行股份有限公司2023年度监事会工作报告》《萍乡农村商业银行股份有限公司2023年度董事会工作报告》《萍乡农村商业银行股份有限公司2023年经营情况报告》《萍乡农村商业银行股份有限公司2023年度信息披露报告》《萍乡农村商业银行股份有限公司2023年大股东及主要股东相关情况评估报告》《萍乡农村商业银行股份有限公司（2024-2026年）三年发展规划》《萍乡农村商业银行股份有限公司2023年度反洗钱和反恐怖融资工作报告》《萍乡农村商业银行股份有限公司2023年度关联交易报告》《萍乡农村商业银行关于发放关联交易贷款的议案》等议案。2024年6月27日,召开第二届监事会第15次会议，会议审议通过了《萍乡农村商业银行股份有限公司2024年一季度经营形势分析报告》《萍乡农村商业银行股份有限公司2023年度财务决算报告》《萍乡农村商业银行股份有限公司2024年度财务预算报告》《关于授权处置萍乡农村商业银行股份有限公司持有江西省联社股金的议案》《萍乡农村商业银行股份有限公司2023年度利润分配方案》《萍乡农商银行2023年度全面审计工作情况的报告》《萍乡农商银行2024年审计工作意见》《萍乡农商银行2023年金融消费者权益保护专项审计报告》《萍乡农商银行开展洗钱和恐怖融资风险自评估工作方案》《萍乡农商银行关联交易专项审计报告》《关于分设风险合规部的议案》等议案。2024年9月3日,召开第二届监事会第16次会议，会议审议通过了《关于处置持有江西省联社股金的议案》《萍乡农村商业银行2023年度金融消费者权益保护工作报告》《萍乡农村商业银行2023年数据治理工作开展情况报告》等议案。2024年11月22日召开第二届监事会第17次会议，会议审议通过了《萍乡农商银行股份有限公司2023年度利润分配方案》《关于监管部门对萍乡农商银行提出的审慎监管会谈纪要和监管意见的报告》《萍乡农村商业银行股份有限公司2023年案防工作报告》《萍乡农村商业银行股份有限公司2023年业务连续性评估报告》《萍乡农村商业银行股份有限公司2023年风险管理报告》《萍乡农村商业银行股份有限公司2023年流动性压力测试开展情况报告》《萍乡农村商业银行股份有限公司2023年度内部控制评价报告》《萍乡农村商业银行股份有限公司2024年公司治理专项审计报告》《萍乡农村商业银行股份有限公司2023年内部资本充足评估报告》《萍乡农村商业银行股份有限公司2024年金融资产风险分类真实性专项审计报告》《萍乡农村商业银行股份有限公司2024年前三季度经营情况报告》《萍乡农村商业银行股份有限公司绩效考核审计报告》《萍乡农村商业银行股份有限公司2024年流动性风险管理专项审计报告》《萍乡农村商业银行股份有限公司财务管理专项审计报告》《萍乡农村商业银行股份有限公司2023年度柜面操作风险审计报告》《萍乡农村商业银行股份有限公司2023年度反洗钱专项审计报告》《萍乡农村商业银行股份有限公司审计部门负责人尽责考核情况报告》《关于授权风险处置委员会处理贷款调整相关事宜的议案》《关于解聘肖鹏副行长职务的议案》《关于同意曹新建同志辞去董事长及相关职务的议案》等议案。</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7.4  高级管理层</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bCs/>
          <w:color w:val="auto"/>
          <w:sz w:val="32"/>
          <w:szCs w:val="32"/>
          <w:highlight w:val="none"/>
        </w:rPr>
        <w:t>本行</w:t>
      </w:r>
      <w:r>
        <w:rPr>
          <w:rFonts w:hint="eastAsia" w:ascii="仿宋_GB2312" w:hAnsi="仿宋" w:eastAsia="仿宋_GB2312"/>
          <w:color w:val="auto"/>
          <w:sz w:val="32"/>
          <w:szCs w:val="32"/>
          <w:highlight w:val="none"/>
        </w:rPr>
        <w:t>高级管理层严格执行股东大会、董事会决议，认真执行年度预算，完成年度经营目标。管理人员应当接受监事会监督，定期向监事会提供有关本行经营业绩、重要合同、财务状况、风险状况和经营前景等情况，不得阻挠、妨碍监事会依照职权进行的检查、监督等活动。</w:t>
      </w:r>
      <w:r>
        <w:rPr>
          <w:rFonts w:hint="eastAsia" w:ascii="仿宋_GB2312" w:eastAsia="仿宋_GB2312"/>
          <w:sz w:val="32"/>
          <w:szCs w:val="32"/>
        </w:rPr>
        <w:t>本行高级管理人员依法在职权范围内的经营管理活动不受干预。超出董事会授权范围或违反法律法规、行政规章和本章程规定做出经营决策，致使本行遭受严重损失的，参与决策的高级管理人员应承担相应责任。</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7.5  独立董事工作情况</w:t>
      </w:r>
    </w:p>
    <w:p>
      <w:pPr>
        <w:spacing w:line="560" w:lineRule="exact"/>
        <w:ind w:firstLine="640" w:firstLineChars="200"/>
        <w:rPr>
          <w:rFonts w:hint="eastAsia" w:ascii="仿宋_GB2312" w:hAnsi="Segoe UI" w:eastAsia="仿宋_GB2312" w:cs="Segoe UI"/>
          <w:color w:val="171A1D"/>
          <w:sz w:val="32"/>
          <w:szCs w:val="32"/>
          <w:shd w:val="clear" w:color="auto" w:fill="FFFFFF"/>
          <w:lang w:eastAsia="zh-CN"/>
        </w:rPr>
      </w:pPr>
      <w:r>
        <w:rPr>
          <w:rFonts w:hint="eastAsia" w:ascii="仿宋_GB2312" w:hAnsi="仿宋" w:eastAsia="仿宋_GB2312"/>
          <w:color w:val="auto"/>
          <w:sz w:val="32"/>
          <w:szCs w:val="32"/>
          <w:highlight w:val="none"/>
          <w:lang w:val="en-US" w:eastAsia="zh-CN"/>
        </w:rPr>
        <w:t>独立董事</w:t>
      </w:r>
      <w:r>
        <w:rPr>
          <w:rFonts w:hint="eastAsia" w:ascii="仿宋_GB2312" w:hAnsi="Segoe UI" w:eastAsia="仿宋_GB2312" w:cs="Segoe UI"/>
          <w:color w:val="171A1D"/>
          <w:sz w:val="32"/>
          <w:szCs w:val="32"/>
          <w:shd w:val="clear" w:color="auto" w:fill="FFFFFF"/>
        </w:rPr>
        <w:t>按时出席董事会及专门委员会会议，积极参与各项议题讨论</w:t>
      </w:r>
      <w:r>
        <w:rPr>
          <w:rFonts w:hint="eastAsia" w:ascii="仿宋_GB2312" w:hAnsi="Segoe UI" w:eastAsia="仿宋_GB2312" w:cs="Segoe UI"/>
          <w:color w:val="171A1D"/>
          <w:sz w:val="32"/>
          <w:szCs w:val="32"/>
          <w:shd w:val="clear" w:color="auto" w:fill="FFFFFF"/>
          <w:lang w:val="en-US" w:eastAsia="zh-CN"/>
        </w:rPr>
        <w:t>调研</w:t>
      </w:r>
      <w:r>
        <w:rPr>
          <w:rFonts w:hint="eastAsia" w:ascii="仿宋_GB2312" w:hAnsi="Segoe UI" w:eastAsia="仿宋_GB2312" w:cs="Segoe UI"/>
          <w:color w:val="171A1D"/>
          <w:sz w:val="32"/>
          <w:szCs w:val="32"/>
          <w:shd w:val="clear" w:color="auto" w:fill="FFFFFF"/>
        </w:rPr>
        <w:t>，</w:t>
      </w:r>
      <w:r>
        <w:rPr>
          <w:rFonts w:hint="eastAsia" w:ascii="仿宋_GB2312" w:hAnsi="Segoe UI" w:eastAsia="仿宋_GB2312" w:cs="Segoe UI"/>
          <w:color w:val="171A1D"/>
          <w:sz w:val="32"/>
          <w:szCs w:val="32"/>
          <w:shd w:val="clear" w:color="auto" w:fill="FFFFFF"/>
          <w:lang w:eastAsia="zh-CN"/>
        </w:rPr>
        <w:t>始终坚守独立董事的职责，深入了解公司业务发展、经营管理、内控制度、重大事项等执行及完善情况、董事会决议和股东大会决议的执行情况，并充分发表意见和建议。持续推动关联交易管理，履行关联交易监督职责，通过董事会关联交易和消费者权益保护委员会加强对关联交易的监督审核，确认关联方情况，监督指导管理层对关联交易实施规范化、精细化管理，提升关联交易管理水平，保障本行和相关方权益。</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7.6  外部监事工作情况</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外部监事积极参加本行召开的监事会会议，认真审议各项议案，对议案涉及的内容进行深入了解和分析，充分行使表决权。共出席监事会会议4次，列席董事会会议2次、股东大会1次。对公司重大决策、经营管理、关联交易、财务报告等事项发表独立、客观的意见，确保决策程序的合法合规性及决策内容的合理性，有效防范公司经营风险和决策风险。</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7.7  部门、分支机构设置</w:t>
      </w:r>
    </w:p>
    <w:p>
      <w:pPr>
        <w:spacing w:line="56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截至202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年12月31日，机关内设部门17个，包含综合工作部1个，事业部3个</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营业网点</w:t>
      </w:r>
      <w:r>
        <w:rPr>
          <w:rFonts w:hint="eastAsia" w:ascii="仿宋_GB2312" w:hAnsi="仿宋" w:eastAsia="仿宋_GB2312"/>
          <w:color w:val="auto"/>
          <w:sz w:val="32"/>
          <w:szCs w:val="32"/>
          <w:highlight w:val="none"/>
          <w:lang w:val="en-US" w:eastAsia="zh-CN"/>
        </w:rPr>
        <w:t>32</w:t>
      </w:r>
      <w:r>
        <w:rPr>
          <w:rFonts w:hint="eastAsia" w:ascii="仿宋_GB2312" w:hAnsi="仿宋" w:eastAsia="仿宋_GB2312"/>
          <w:color w:val="auto"/>
          <w:sz w:val="32"/>
          <w:szCs w:val="32"/>
          <w:highlight w:val="none"/>
        </w:rPr>
        <w:t>个,其中营业部1个、一级支行7个、二级支行2</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个；离行式自助网点1个。</w:t>
      </w:r>
    </w:p>
    <w:p>
      <w:p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7.8  公司治理自评</w:t>
      </w:r>
    </w:p>
    <w:p>
      <w:pPr>
        <w:numPr>
          <w:ilvl w:val="0"/>
          <w:numId w:val="0"/>
        </w:numPr>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本行严格遵循监管要求，公司治理架构健全，不断提升公司治理质效，“三会一层”运作规范，战略执行与风险管理能力持续提升，为实现稳健可持续发展奠定基础，未发生重大治理缺陷事件。</w:t>
      </w:r>
    </w:p>
    <w:p>
      <w:pPr>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八</w:t>
      </w:r>
      <w:r>
        <w:rPr>
          <w:rFonts w:hint="eastAsia" w:ascii="黑体" w:hAnsi="黑体" w:eastAsia="黑体"/>
          <w:color w:val="auto"/>
          <w:sz w:val="32"/>
          <w:szCs w:val="32"/>
          <w:highlight w:val="none"/>
        </w:rPr>
        <w:t>、普惠金融服务</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本行坚持 “立足本土、服务社区、支农支小”的市场定位，充分发挥扎根本土、点多面广、机制灵活的比较优势，为乡村振兴、小微民营的发展做出了积极贡献。截至2024年末，全行小微企业贷款余额110.90亿元，较年初增加1.2亿元，其中普惠型小微企业贷款增幅</w:t>
      </w:r>
      <w:r>
        <w:rPr>
          <w:rFonts w:hint="eastAsia" w:ascii="仿宋_GB2312" w:eastAsia="仿宋_GB2312"/>
          <w:color w:val="auto"/>
          <w:sz w:val="32"/>
          <w:szCs w:val="32"/>
          <w:highlight w:val="none"/>
          <w:lang w:val="en-US" w:eastAsia="zh-CN"/>
        </w:rPr>
        <w:t>高于有效贷款增速0.78个百分点；贷款户数较年初增加273户；新发放普惠型小微贷款利率</w:t>
      </w:r>
      <w:r>
        <w:rPr>
          <w:rFonts w:hint="eastAsia" w:ascii="仿宋_GB2312" w:eastAsia="仿宋_GB2312"/>
          <w:color w:val="auto"/>
          <w:sz w:val="32"/>
          <w:szCs w:val="32"/>
          <w:highlight w:val="none"/>
          <w:lang w:val="en-US" w:eastAsia="zh-CN"/>
        </w:rPr>
        <w:t>较年初下降0.15个百分点；普惠型小微企业贷款不良率</w:t>
      </w:r>
      <w:r>
        <w:rPr>
          <w:rFonts w:hint="eastAsia" w:ascii="仿宋_GB2312" w:eastAsia="仿宋_GB2312"/>
          <w:color w:val="auto"/>
          <w:sz w:val="32"/>
          <w:szCs w:val="32"/>
          <w:highlight w:val="none"/>
          <w:lang w:val="en-US" w:eastAsia="zh-CN"/>
        </w:rPr>
        <w:t>控制在不高于各项贷款不良率的3个百分点以内，实现了普惠小微“两增两控”目标。积极参与新农村建设、扎根农村、借力普惠金融服务站及联络员,全力打造农民喜爱的“乡村银行”品牌，在安源区、湘东区、经开区共设普惠金融服务站129个，其中农区普惠金融服务站86个，社区普惠金融服务站2个，“村村通”助农取款服务站41个。2024年电子交易笔数3410万笔，占总交易笔数95.97%。至2024年12月末，对88个村组全面启动整村授信工作，已开展整村授信行政村农户数6.03万户</w:t>
      </w:r>
      <w:r>
        <w:rPr>
          <w:rFonts w:hint="eastAsia" w:ascii="仿宋_GB2312" w:eastAsia="仿宋_GB2312"/>
          <w:color w:val="auto"/>
          <w:sz w:val="32"/>
          <w:szCs w:val="32"/>
          <w:highlight w:val="none"/>
          <w:lang w:val="en-US" w:eastAsia="zh-CN"/>
        </w:rPr>
        <w:t>，评议出的白名单户数5.42万户</w:t>
      </w:r>
      <w:r>
        <w:rPr>
          <w:rFonts w:hint="eastAsia" w:ascii="仿宋_GB2312" w:eastAsia="仿宋_GB2312"/>
          <w:color w:val="auto"/>
          <w:sz w:val="32"/>
          <w:szCs w:val="32"/>
          <w:highlight w:val="none"/>
          <w:lang w:val="en-US" w:eastAsia="zh-CN"/>
        </w:rPr>
        <w:t>，农户授信覆盖面37.16%。积极助力巩固脱贫攻坚成果，做好金融扶贫与乡村振兴有效衔接工作，累计发放“扶贫和移民产业信贷通”贷款7206万元，惠及贫困户900余</w:t>
      </w:r>
      <w:r>
        <w:rPr>
          <w:rFonts w:hint="eastAsia" w:ascii="仿宋_GB2312" w:eastAsia="仿宋_GB2312"/>
          <w:color w:val="auto"/>
          <w:sz w:val="32"/>
          <w:szCs w:val="32"/>
          <w:highlight w:val="none"/>
          <w:lang w:val="en-US" w:eastAsia="zh-CN"/>
        </w:rPr>
        <w:t>户；累计发放“财政助保贷”6269万元，为1700余</w:t>
      </w:r>
      <w:r>
        <w:rPr>
          <w:rFonts w:hint="eastAsia" w:ascii="仿宋_GB2312" w:eastAsia="仿宋_GB2312"/>
          <w:color w:val="auto"/>
          <w:sz w:val="32"/>
          <w:szCs w:val="32"/>
          <w:highlight w:val="none"/>
          <w:lang w:val="en-US" w:eastAsia="zh-CN"/>
        </w:rPr>
        <w:t>户贫困家庭解决养老后顾之忧；累计发放下岗再就业贷款225551万元，帮助1.06万名</w:t>
      </w:r>
      <w:r>
        <w:rPr>
          <w:rFonts w:hint="eastAsia" w:ascii="仿宋_GB2312" w:eastAsia="仿宋_GB2312"/>
          <w:color w:val="auto"/>
          <w:sz w:val="32"/>
          <w:szCs w:val="32"/>
          <w:highlight w:val="none"/>
          <w:lang w:val="en-US" w:eastAsia="zh-CN"/>
        </w:rPr>
        <w:t>下岗人员就业创业;累计发放生源地信用助学贷款11595万元，帮助5800</w:t>
      </w:r>
      <w:r>
        <w:rPr>
          <w:rFonts w:hint="eastAsia" w:ascii="仿宋_GB2312" w:eastAsia="仿宋_GB2312"/>
          <w:color w:val="auto"/>
          <w:sz w:val="32"/>
          <w:szCs w:val="32"/>
          <w:highlight w:val="none"/>
          <w:lang w:val="en-US" w:eastAsia="zh-CN"/>
        </w:rPr>
        <w:t>余名贫困学生圆大学梦。</w:t>
      </w:r>
    </w:p>
    <w:p>
      <w:pPr>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九</w:t>
      </w:r>
      <w:r>
        <w:rPr>
          <w:rFonts w:hint="eastAsia" w:ascii="黑体" w:hAnsi="黑体" w:eastAsia="黑体"/>
          <w:color w:val="auto"/>
          <w:sz w:val="32"/>
          <w:szCs w:val="32"/>
          <w:highlight w:val="none"/>
        </w:rPr>
        <w:t>、消费者权益保护</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本行</w:t>
      </w:r>
      <w:r>
        <w:rPr>
          <w:rFonts w:hint="eastAsia" w:ascii="仿宋_GB2312" w:eastAsia="仿宋_GB2312"/>
          <w:color w:val="auto"/>
          <w:sz w:val="32"/>
          <w:szCs w:val="32"/>
          <w:highlight w:val="none"/>
        </w:rPr>
        <w:t>积极响应</w:t>
      </w:r>
      <w:r>
        <w:rPr>
          <w:rFonts w:hint="eastAsia" w:ascii="仿宋_GB2312" w:hAnsi="仿宋" w:eastAsia="仿宋_GB2312" w:cs="仿宋_GB2312"/>
          <w:color w:val="auto"/>
          <w:sz w:val="32"/>
          <w:szCs w:val="32"/>
          <w:highlight w:val="none"/>
        </w:rPr>
        <w:t>消费者权益保护各项法律法规和监管要求，</w:t>
      </w:r>
      <w:r>
        <w:rPr>
          <w:rFonts w:hint="eastAsia" w:ascii="仿宋_GB2312" w:eastAsia="仿宋_GB2312"/>
          <w:color w:val="auto"/>
          <w:sz w:val="32"/>
          <w:szCs w:val="32"/>
          <w:highlight w:val="none"/>
        </w:rPr>
        <w:t>结合消保形势及同业经验做法，建立消保定期例会、消保问题“双线”溯源、</w:t>
      </w:r>
      <w:r>
        <w:rPr>
          <w:rFonts w:hint="eastAsia" w:ascii="仿宋_GB2312" w:eastAsia="仿宋_GB2312"/>
          <w:color w:val="auto"/>
          <w:sz w:val="32"/>
          <w:szCs w:val="32"/>
          <w:highlight w:val="none"/>
          <w:lang w:val="en-US" w:eastAsia="zh-CN"/>
        </w:rPr>
        <w:t>消保工作领导“包案”和“高管接待日”、</w:t>
      </w:r>
      <w:r>
        <w:rPr>
          <w:rFonts w:hint="eastAsia" w:ascii="仿宋_GB2312" w:eastAsia="仿宋_GB2312"/>
          <w:color w:val="auto"/>
          <w:sz w:val="32"/>
          <w:szCs w:val="32"/>
          <w:highlight w:val="none"/>
        </w:rPr>
        <w:t>客户诉求网点“当天响应”</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消保事前审查等5</w:t>
      </w:r>
      <w:r>
        <w:rPr>
          <w:rFonts w:hint="eastAsia" w:ascii="仿宋_GB2312" w:eastAsia="仿宋_GB2312"/>
          <w:color w:val="auto"/>
          <w:sz w:val="32"/>
          <w:szCs w:val="32"/>
          <w:highlight w:val="none"/>
        </w:rPr>
        <w:t>项机制。</w:t>
      </w:r>
      <w:r>
        <w:rPr>
          <w:rFonts w:hint="eastAsia" w:ascii="仿宋_GB2312" w:hAnsi="仿宋_GB2312" w:eastAsia="仿宋_GB2312" w:cs="仿宋_GB2312"/>
          <w:snapToGrid w:val="0"/>
          <w:color w:val="auto"/>
          <w:kern w:val="0"/>
          <w:sz w:val="32"/>
          <w:szCs w:val="32"/>
          <w:highlight w:val="none"/>
          <w:lang w:val="en-US" w:eastAsia="zh-CN"/>
        </w:rPr>
        <w:t>进一步强化投诉管理，规范投诉分类处理流程，积极与客户、责任部门、责任支行、转办单位多方沟通，积极寻找合适的解决方案，在积极解决客户投诉时效的同时，加大消费者权益的保护。2024年共受理投诉123起，投诉处理率100%，客户满意度100%。</w:t>
      </w:r>
      <w:r>
        <w:rPr>
          <w:rFonts w:hint="eastAsia" w:ascii="仿宋_GB2312" w:hAnsi="仿宋_GB2312" w:eastAsia="仿宋_GB2312" w:cs="仿宋_GB2312"/>
          <w:b w:val="0"/>
          <w:bCs w:val="0"/>
          <w:color w:val="auto"/>
          <w:sz w:val="32"/>
          <w:szCs w:val="32"/>
          <w:highlight w:val="none"/>
          <w:lang w:val="en-US" w:eastAsia="zh-CN"/>
        </w:rPr>
        <w:t>针对投诉，全年共召开了9期消费者权益保护联席会，</w:t>
      </w:r>
      <w:r>
        <w:rPr>
          <w:rFonts w:hint="eastAsia" w:ascii="仿宋_GB2312" w:hAnsi="仿宋_GB2312" w:eastAsia="仿宋_GB2312" w:cs="仿宋_GB2312"/>
          <w:color w:val="auto"/>
          <w:kern w:val="2"/>
          <w:sz w:val="32"/>
          <w:szCs w:val="32"/>
          <w:highlight w:val="none"/>
          <w:lang w:val="en-US" w:eastAsia="zh-CN" w:bidi="ar-SA"/>
        </w:rPr>
        <w:t>对消保工作进行专题研究、专门部署,按月总结归纳出客户反映热点问题，有针对性地从制度、流程、产品、服务等方面提出改进措施。</w:t>
      </w:r>
      <w:r>
        <w:rPr>
          <w:rFonts w:hint="eastAsia" w:ascii="仿宋_GB2312" w:hAnsi="宋体" w:eastAsia="仿宋_GB2312" w:cs="仿宋_GB2312"/>
          <w:bCs/>
          <w:color w:val="auto"/>
          <w:kern w:val="0"/>
          <w:sz w:val="32"/>
          <w:szCs w:val="32"/>
          <w:highlight w:val="none"/>
        </w:rPr>
        <w:t>组织开展</w:t>
      </w:r>
      <w:r>
        <w:rPr>
          <w:rFonts w:hint="eastAsia" w:ascii="仿宋_GB2312" w:hAnsi="宋体" w:eastAsia="仿宋_GB2312" w:cs="仿宋_GB2312"/>
          <w:bCs/>
          <w:color w:val="auto"/>
          <w:kern w:val="0"/>
          <w:sz w:val="32"/>
          <w:szCs w:val="32"/>
          <w:highlight w:val="none"/>
          <w:lang w:val="en-US" w:eastAsia="zh-CN"/>
        </w:rPr>
        <w:t>了30余项金融知识宣传教育</w:t>
      </w:r>
      <w:r>
        <w:rPr>
          <w:rFonts w:hint="eastAsia" w:ascii="仿宋_GB2312" w:hAnsi="宋体" w:eastAsia="仿宋_GB2312" w:cs="仿宋_GB2312"/>
          <w:bCs/>
          <w:color w:val="auto"/>
          <w:kern w:val="0"/>
          <w:sz w:val="32"/>
          <w:szCs w:val="32"/>
          <w:highlight w:val="none"/>
        </w:rPr>
        <w:t>活动</w:t>
      </w:r>
      <w:r>
        <w:rPr>
          <w:rFonts w:hint="eastAsia" w:ascii="仿宋_GB2312" w:hAnsi="宋体" w:eastAsia="仿宋_GB2312" w:cs="仿宋_GB2312"/>
          <w:bCs/>
          <w:color w:val="auto"/>
          <w:kern w:val="0"/>
          <w:sz w:val="32"/>
          <w:szCs w:val="32"/>
          <w:highlight w:val="none"/>
          <w:lang w:eastAsia="zh-CN"/>
        </w:rPr>
        <w:t>，</w:t>
      </w:r>
      <w:r>
        <w:rPr>
          <w:rFonts w:hint="eastAsia" w:ascii="仿宋_GB2312" w:hAnsi="宋体" w:eastAsia="仿宋_GB2312" w:cs="仿宋_GB2312"/>
          <w:bCs/>
          <w:color w:val="auto"/>
          <w:kern w:val="0"/>
          <w:sz w:val="32"/>
          <w:szCs w:val="32"/>
          <w:highlight w:val="none"/>
          <w:lang w:val="en-US" w:eastAsia="zh-CN"/>
        </w:rPr>
        <w:t>组织员工</w:t>
      </w:r>
      <w:r>
        <w:rPr>
          <w:rFonts w:hint="eastAsia" w:ascii="仿宋_GB2312" w:hAnsi="仿宋_GB2312" w:eastAsia="仿宋_GB2312" w:cs="仿宋_GB2312"/>
          <w:snapToGrid w:val="0"/>
          <w:color w:val="auto"/>
          <w:kern w:val="0"/>
          <w:sz w:val="32"/>
          <w:szCs w:val="32"/>
          <w:highlight w:val="none"/>
          <w:lang w:val="zh-CN" w:eastAsia="zh-CN"/>
        </w:rPr>
        <w:t>进农村、进企业、进</w:t>
      </w:r>
      <w:r>
        <w:rPr>
          <w:rFonts w:hint="eastAsia" w:ascii="仿宋_GB2312" w:hAnsi="仿宋_GB2312" w:eastAsia="仿宋_GB2312" w:cs="仿宋_GB2312"/>
          <w:snapToGrid w:val="0"/>
          <w:color w:val="auto"/>
          <w:kern w:val="0"/>
          <w:sz w:val="32"/>
          <w:szCs w:val="32"/>
          <w:highlight w:val="none"/>
          <w:lang w:val="en-US" w:eastAsia="zh-CN"/>
        </w:rPr>
        <w:t>商场</w:t>
      </w:r>
      <w:r>
        <w:rPr>
          <w:rFonts w:hint="eastAsia" w:ascii="仿宋_GB2312" w:hAnsi="仿宋_GB2312" w:eastAsia="仿宋_GB2312" w:cs="仿宋_GB2312"/>
          <w:snapToGrid w:val="0"/>
          <w:color w:val="auto"/>
          <w:kern w:val="0"/>
          <w:sz w:val="32"/>
          <w:szCs w:val="32"/>
          <w:highlight w:val="none"/>
          <w:lang w:val="zh-CN" w:eastAsia="zh-CN"/>
        </w:rPr>
        <w:t>、</w:t>
      </w:r>
      <w:r>
        <w:rPr>
          <w:rFonts w:hint="eastAsia" w:ascii="仿宋_GB2312" w:hAnsi="仿宋_GB2312" w:eastAsia="仿宋_GB2312" w:cs="仿宋_GB2312"/>
          <w:snapToGrid w:val="0"/>
          <w:color w:val="auto"/>
          <w:kern w:val="0"/>
          <w:sz w:val="32"/>
          <w:szCs w:val="32"/>
          <w:highlight w:val="none"/>
          <w:lang w:val="en-US" w:eastAsia="zh-CN"/>
        </w:rPr>
        <w:t>进商圈、进园区、</w:t>
      </w:r>
      <w:r>
        <w:rPr>
          <w:rFonts w:hint="eastAsia" w:ascii="仿宋_GB2312" w:hAnsi="仿宋_GB2312" w:eastAsia="仿宋_GB2312" w:cs="仿宋_GB2312"/>
          <w:snapToGrid w:val="0"/>
          <w:color w:val="auto"/>
          <w:kern w:val="0"/>
          <w:sz w:val="32"/>
          <w:szCs w:val="32"/>
          <w:highlight w:val="none"/>
          <w:lang w:val="zh-CN" w:eastAsia="zh-CN"/>
        </w:rPr>
        <w:t>进市民中心开展宣传，传导消保理念。</w:t>
      </w:r>
    </w:p>
    <w:p>
      <w:pPr>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十</w:t>
      </w:r>
      <w:r>
        <w:rPr>
          <w:rFonts w:hint="eastAsia" w:ascii="黑体" w:hAnsi="黑体" w:eastAsia="黑体"/>
          <w:color w:val="auto"/>
          <w:sz w:val="32"/>
          <w:szCs w:val="32"/>
          <w:highlight w:val="none"/>
        </w:rPr>
        <w:t>、重</w:t>
      </w:r>
      <w:r>
        <w:rPr>
          <w:rFonts w:hint="eastAsia" w:ascii="黑体" w:hAnsi="黑体" w:eastAsia="黑体"/>
          <w:color w:val="auto"/>
          <w:sz w:val="32"/>
          <w:szCs w:val="32"/>
          <w:highlight w:val="none"/>
          <w:lang w:val="en-US" w:eastAsia="zh-CN"/>
        </w:rPr>
        <w:t>大</w:t>
      </w:r>
      <w:r>
        <w:rPr>
          <w:rFonts w:hint="eastAsia" w:ascii="黑体" w:hAnsi="黑体" w:eastAsia="黑体"/>
          <w:color w:val="auto"/>
          <w:sz w:val="32"/>
          <w:szCs w:val="32"/>
          <w:highlight w:val="none"/>
        </w:rPr>
        <w:t xml:space="preserve">事项 </w:t>
      </w:r>
    </w:p>
    <w:p>
      <w:pPr>
        <w:spacing w:line="560" w:lineRule="exact"/>
        <w:ind w:firstLine="640" w:firstLineChars="200"/>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 xml:space="preserve">10.1  </w:t>
      </w:r>
      <w:r>
        <w:rPr>
          <w:rFonts w:hint="eastAsia" w:ascii="仿宋_GB2312" w:hAnsi="仿宋_GB2312" w:eastAsia="仿宋_GB2312" w:cs="仿宋_GB2312"/>
          <w:color w:val="auto"/>
          <w:sz w:val="32"/>
          <w:szCs w:val="32"/>
          <w:highlight w:val="none"/>
          <w:lang w:val="zh-CN" w:eastAsia="zh-CN"/>
        </w:rPr>
        <w:t>本行20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lang w:val="zh-CN" w:eastAsia="zh-CN"/>
        </w:rPr>
        <w:t>年度</w:t>
      </w:r>
      <w:r>
        <w:rPr>
          <w:rFonts w:hint="eastAsia" w:ascii="仿宋_GB2312" w:hAnsi="仿宋_GB2312" w:eastAsia="仿宋_GB2312" w:cs="仿宋_GB2312"/>
          <w:color w:val="auto"/>
          <w:sz w:val="32"/>
          <w:szCs w:val="32"/>
          <w:highlight w:val="none"/>
          <w:lang w:val="en-US" w:eastAsia="zh-CN"/>
        </w:rPr>
        <w:t>资本公积转增股本</w:t>
      </w:r>
      <w:r>
        <w:rPr>
          <w:rFonts w:hint="eastAsia" w:ascii="仿宋_GB2312" w:hAnsi="仿宋_GB2312" w:eastAsia="仿宋_GB2312" w:cs="仿宋_GB2312"/>
          <w:color w:val="auto"/>
          <w:sz w:val="32"/>
          <w:szCs w:val="32"/>
          <w:highlight w:val="none"/>
          <w:lang w:val="zh-CN" w:eastAsia="zh-CN"/>
        </w:rPr>
        <w:t>2577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zh-CN" w:eastAsia="zh-CN"/>
        </w:rPr>
        <w:t>8</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eastAsia="zh-CN"/>
        </w:rPr>
        <w:t>万股，至202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eastAsia="zh-CN"/>
        </w:rPr>
        <w:t>年底</w:t>
      </w:r>
      <w:r>
        <w:rPr>
          <w:rFonts w:hint="eastAsia" w:ascii="仿宋_GB2312" w:hAnsi="仿宋_GB2312" w:eastAsia="仿宋_GB2312" w:cs="仿宋_GB2312"/>
          <w:color w:val="auto"/>
          <w:sz w:val="32"/>
          <w:szCs w:val="32"/>
          <w:highlight w:val="none"/>
          <w:lang w:val="en-US" w:eastAsia="zh-CN"/>
        </w:rPr>
        <w:t>实收</w:t>
      </w:r>
      <w:r>
        <w:rPr>
          <w:rFonts w:hint="eastAsia" w:ascii="仿宋_GB2312" w:hAnsi="仿宋_GB2312" w:eastAsia="仿宋_GB2312" w:cs="仿宋_GB2312"/>
          <w:color w:val="auto"/>
          <w:sz w:val="32"/>
          <w:szCs w:val="32"/>
          <w:highlight w:val="none"/>
          <w:lang w:val="zh-CN" w:eastAsia="zh-CN"/>
        </w:rPr>
        <w:t>资本由</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val="zh-CN" w:eastAsia="zh-CN"/>
        </w:rPr>
        <w:t>年的</w:t>
      </w:r>
      <w:r>
        <w:rPr>
          <w:rFonts w:hint="eastAsia" w:ascii="仿宋_GB2312" w:hAnsi="仿宋_GB2312" w:eastAsia="仿宋_GB2312" w:cs="仿宋_GB2312"/>
          <w:color w:val="auto"/>
          <w:sz w:val="32"/>
          <w:szCs w:val="32"/>
          <w:highlight w:val="none"/>
          <w:lang w:val="en-US" w:eastAsia="zh-CN"/>
        </w:rPr>
        <w:t>103113.57</w:t>
      </w:r>
      <w:r>
        <w:rPr>
          <w:rFonts w:hint="eastAsia" w:ascii="仿宋_GB2312" w:hAnsi="仿宋_GB2312" w:eastAsia="仿宋_GB2312" w:cs="仿宋_GB2312"/>
          <w:color w:val="auto"/>
          <w:sz w:val="32"/>
          <w:szCs w:val="32"/>
          <w:highlight w:val="none"/>
          <w:lang w:val="zh-CN" w:eastAsia="zh-CN"/>
        </w:rPr>
        <w:t>万元变更为</w:t>
      </w:r>
      <w:r>
        <w:rPr>
          <w:rFonts w:hint="eastAsia" w:ascii="仿宋_GB2312" w:hAnsi="仿宋_GB2312" w:eastAsia="仿宋_GB2312" w:cs="仿宋_GB2312"/>
          <w:color w:val="auto"/>
          <w:sz w:val="32"/>
          <w:szCs w:val="32"/>
          <w:highlight w:val="none"/>
          <w:lang w:val="en-US" w:eastAsia="zh-CN"/>
        </w:rPr>
        <w:t>105691</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eastAsia="zh-CN"/>
        </w:rPr>
        <w:t>1万元。</w:t>
      </w:r>
    </w:p>
    <w:p>
      <w:pPr>
        <w:numPr>
          <w:ilvl w:val="0"/>
          <w:numId w:val="0"/>
        </w:numPr>
        <w:tabs>
          <w:tab w:val="left" w:pos="1890"/>
        </w:tabs>
        <w:spacing w:line="56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10.2  </w:t>
      </w:r>
      <w:r>
        <w:rPr>
          <w:rFonts w:hint="eastAsia" w:ascii="仿宋_GB2312" w:hAnsi="仿宋" w:eastAsia="仿宋_GB2312"/>
          <w:color w:val="auto"/>
          <w:sz w:val="32"/>
          <w:szCs w:val="32"/>
          <w:highlight w:val="none"/>
          <w:lang w:val="en-US" w:eastAsia="zh-CN"/>
        </w:rPr>
        <w:t>原董事长曹新建同志因工作调整，辞去董事长及董事会相关职务，已经2024年11月22日萍乡农村商业银行股份有限公司第二届董事会第21次会议通过。曹新建同志离职后，由萍乡农村商业银行股份有限公司董事、行长刘光莹同志代行董事长职责，直至新任董事长选举完成。</w:t>
      </w:r>
    </w:p>
    <w:p>
      <w:pPr>
        <w:numPr>
          <w:ilvl w:val="0"/>
          <w:numId w:val="0"/>
        </w:num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附件：1.资产负债表</w:t>
      </w:r>
    </w:p>
    <w:p>
      <w:pPr>
        <w:numPr>
          <w:ilvl w:val="0"/>
          <w:numId w:val="0"/>
        </w:numPr>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2.利润表</w:t>
      </w:r>
    </w:p>
    <w:p>
      <w:pPr>
        <w:numPr>
          <w:ilvl w:val="0"/>
          <w:numId w:val="0"/>
        </w:numPr>
        <w:spacing w:line="560" w:lineRule="exact"/>
        <w:ind w:firstLine="1600" w:firstLineChars="5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3.审计报告</w:t>
      </w:r>
    </w:p>
    <w:p/>
    <w:sectPr>
      <w:footerReference r:id="rId3" w:type="default"/>
      <w:footerReference r:id="rId4" w:type="even"/>
      <w:pgSz w:w="11906" w:h="16838"/>
      <w:pgMar w:top="2098" w:right="1474" w:bottom="2098" w:left="1588" w:header="851" w:footer="992" w:gutter="0"/>
      <w:pgNumType w:fmt="numberInDash"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1B8EF"/>
    <w:multiLevelType w:val="singleLevel"/>
    <w:tmpl w:val="6801B8EF"/>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77"/>
    <w:rsid w:val="000014E3"/>
    <w:rsid w:val="000016CD"/>
    <w:rsid w:val="00005A83"/>
    <w:rsid w:val="00006717"/>
    <w:rsid w:val="00006B31"/>
    <w:rsid w:val="00011BC0"/>
    <w:rsid w:val="00015DE6"/>
    <w:rsid w:val="00017E95"/>
    <w:rsid w:val="00021D61"/>
    <w:rsid w:val="00027454"/>
    <w:rsid w:val="000424D2"/>
    <w:rsid w:val="000458AF"/>
    <w:rsid w:val="0005034C"/>
    <w:rsid w:val="00052359"/>
    <w:rsid w:val="00063ED8"/>
    <w:rsid w:val="000701EE"/>
    <w:rsid w:val="000729D8"/>
    <w:rsid w:val="00075C62"/>
    <w:rsid w:val="0007635B"/>
    <w:rsid w:val="000953D3"/>
    <w:rsid w:val="000965F9"/>
    <w:rsid w:val="00096DF2"/>
    <w:rsid w:val="000A1BBC"/>
    <w:rsid w:val="000A7270"/>
    <w:rsid w:val="000B0613"/>
    <w:rsid w:val="000C76DD"/>
    <w:rsid w:val="000D1A4A"/>
    <w:rsid w:val="000D1D39"/>
    <w:rsid w:val="000D276F"/>
    <w:rsid w:val="000D5C00"/>
    <w:rsid w:val="000D6C7F"/>
    <w:rsid w:val="000E1D28"/>
    <w:rsid w:val="000E27A4"/>
    <w:rsid w:val="000E3192"/>
    <w:rsid w:val="000E6D77"/>
    <w:rsid w:val="000F51D2"/>
    <w:rsid w:val="00107A0D"/>
    <w:rsid w:val="00115B96"/>
    <w:rsid w:val="00117E71"/>
    <w:rsid w:val="00120497"/>
    <w:rsid w:val="001229BF"/>
    <w:rsid w:val="001236F1"/>
    <w:rsid w:val="00127DBA"/>
    <w:rsid w:val="00127EF7"/>
    <w:rsid w:val="0013644C"/>
    <w:rsid w:val="001420E9"/>
    <w:rsid w:val="00153EA7"/>
    <w:rsid w:val="00155502"/>
    <w:rsid w:val="001562E7"/>
    <w:rsid w:val="00162BAD"/>
    <w:rsid w:val="00164345"/>
    <w:rsid w:val="00166D90"/>
    <w:rsid w:val="00170058"/>
    <w:rsid w:val="00194A5A"/>
    <w:rsid w:val="001A3244"/>
    <w:rsid w:val="001B24FF"/>
    <w:rsid w:val="001B676F"/>
    <w:rsid w:val="001C0352"/>
    <w:rsid w:val="001C4979"/>
    <w:rsid w:val="001D1DE8"/>
    <w:rsid w:val="001E62BB"/>
    <w:rsid w:val="001F1305"/>
    <w:rsid w:val="001F744C"/>
    <w:rsid w:val="001F74D8"/>
    <w:rsid w:val="00201A06"/>
    <w:rsid w:val="002033E1"/>
    <w:rsid w:val="0020341C"/>
    <w:rsid w:val="002036D6"/>
    <w:rsid w:val="0020452B"/>
    <w:rsid w:val="00205149"/>
    <w:rsid w:val="002101A1"/>
    <w:rsid w:val="00214920"/>
    <w:rsid w:val="00215C06"/>
    <w:rsid w:val="002201E7"/>
    <w:rsid w:val="00223065"/>
    <w:rsid w:val="0022501B"/>
    <w:rsid w:val="00230BE2"/>
    <w:rsid w:val="00232BC4"/>
    <w:rsid w:val="00235BEE"/>
    <w:rsid w:val="002376B0"/>
    <w:rsid w:val="0024400F"/>
    <w:rsid w:val="00254E0E"/>
    <w:rsid w:val="0026347C"/>
    <w:rsid w:val="00281412"/>
    <w:rsid w:val="00282AAE"/>
    <w:rsid w:val="002A33BC"/>
    <w:rsid w:val="002A3758"/>
    <w:rsid w:val="002A46C5"/>
    <w:rsid w:val="002B0015"/>
    <w:rsid w:val="002C4B67"/>
    <w:rsid w:val="002D3EC9"/>
    <w:rsid w:val="002E21D7"/>
    <w:rsid w:val="002F1A12"/>
    <w:rsid w:val="002F440E"/>
    <w:rsid w:val="002F728D"/>
    <w:rsid w:val="002F787D"/>
    <w:rsid w:val="00301401"/>
    <w:rsid w:val="00304B80"/>
    <w:rsid w:val="00305DFC"/>
    <w:rsid w:val="00306820"/>
    <w:rsid w:val="00312800"/>
    <w:rsid w:val="0031597A"/>
    <w:rsid w:val="00315E7C"/>
    <w:rsid w:val="003272DA"/>
    <w:rsid w:val="0033309B"/>
    <w:rsid w:val="003465CC"/>
    <w:rsid w:val="003529AF"/>
    <w:rsid w:val="003535CE"/>
    <w:rsid w:val="00353672"/>
    <w:rsid w:val="003544B3"/>
    <w:rsid w:val="00357A3B"/>
    <w:rsid w:val="00360AFA"/>
    <w:rsid w:val="00362407"/>
    <w:rsid w:val="00363E9C"/>
    <w:rsid w:val="00374C6C"/>
    <w:rsid w:val="00375820"/>
    <w:rsid w:val="00384BD3"/>
    <w:rsid w:val="003867F2"/>
    <w:rsid w:val="003904C7"/>
    <w:rsid w:val="00391D07"/>
    <w:rsid w:val="003B2172"/>
    <w:rsid w:val="003B7132"/>
    <w:rsid w:val="003C17B5"/>
    <w:rsid w:val="003D3832"/>
    <w:rsid w:val="003E4FD5"/>
    <w:rsid w:val="003F3754"/>
    <w:rsid w:val="0040296D"/>
    <w:rsid w:val="00403542"/>
    <w:rsid w:val="004066E8"/>
    <w:rsid w:val="00423058"/>
    <w:rsid w:val="004406A8"/>
    <w:rsid w:val="00443305"/>
    <w:rsid w:val="00444DC6"/>
    <w:rsid w:val="00465A6D"/>
    <w:rsid w:val="00465F7C"/>
    <w:rsid w:val="0047008C"/>
    <w:rsid w:val="00471939"/>
    <w:rsid w:val="004768D5"/>
    <w:rsid w:val="0047691F"/>
    <w:rsid w:val="00481101"/>
    <w:rsid w:val="00491366"/>
    <w:rsid w:val="00494793"/>
    <w:rsid w:val="004A0C7E"/>
    <w:rsid w:val="004A4DED"/>
    <w:rsid w:val="004B157A"/>
    <w:rsid w:val="004B50AB"/>
    <w:rsid w:val="004B6956"/>
    <w:rsid w:val="004B7D73"/>
    <w:rsid w:val="004C0D22"/>
    <w:rsid w:val="004C322C"/>
    <w:rsid w:val="004C5600"/>
    <w:rsid w:val="004C6204"/>
    <w:rsid w:val="004D3DAA"/>
    <w:rsid w:val="004D52B3"/>
    <w:rsid w:val="004E1765"/>
    <w:rsid w:val="004E1F2A"/>
    <w:rsid w:val="004E360B"/>
    <w:rsid w:val="004F7AC3"/>
    <w:rsid w:val="00501219"/>
    <w:rsid w:val="00524380"/>
    <w:rsid w:val="00545B48"/>
    <w:rsid w:val="00546512"/>
    <w:rsid w:val="00547ABA"/>
    <w:rsid w:val="005537A0"/>
    <w:rsid w:val="00573DF6"/>
    <w:rsid w:val="00580DD2"/>
    <w:rsid w:val="00581C5A"/>
    <w:rsid w:val="0058523A"/>
    <w:rsid w:val="00585C95"/>
    <w:rsid w:val="005924B4"/>
    <w:rsid w:val="00596FDC"/>
    <w:rsid w:val="005B6ABA"/>
    <w:rsid w:val="005C35B7"/>
    <w:rsid w:val="005C4711"/>
    <w:rsid w:val="005C5138"/>
    <w:rsid w:val="005C6B22"/>
    <w:rsid w:val="005C7889"/>
    <w:rsid w:val="005D12AE"/>
    <w:rsid w:val="005D2323"/>
    <w:rsid w:val="005D5444"/>
    <w:rsid w:val="005F117D"/>
    <w:rsid w:val="0060045D"/>
    <w:rsid w:val="00601548"/>
    <w:rsid w:val="00601BA6"/>
    <w:rsid w:val="00605511"/>
    <w:rsid w:val="006142AB"/>
    <w:rsid w:val="00615F37"/>
    <w:rsid w:val="006222F8"/>
    <w:rsid w:val="00626367"/>
    <w:rsid w:val="0062674E"/>
    <w:rsid w:val="00627337"/>
    <w:rsid w:val="00627F89"/>
    <w:rsid w:val="006402F0"/>
    <w:rsid w:val="00640ADA"/>
    <w:rsid w:val="00650CA2"/>
    <w:rsid w:val="00650ECA"/>
    <w:rsid w:val="006560B4"/>
    <w:rsid w:val="00664EA0"/>
    <w:rsid w:val="00674484"/>
    <w:rsid w:val="00680C10"/>
    <w:rsid w:val="006832A5"/>
    <w:rsid w:val="006853F2"/>
    <w:rsid w:val="00687CD1"/>
    <w:rsid w:val="00693A15"/>
    <w:rsid w:val="00694128"/>
    <w:rsid w:val="00694EC4"/>
    <w:rsid w:val="006955A8"/>
    <w:rsid w:val="0069629E"/>
    <w:rsid w:val="006A05F7"/>
    <w:rsid w:val="006A121F"/>
    <w:rsid w:val="006A17C3"/>
    <w:rsid w:val="006B59AD"/>
    <w:rsid w:val="006B5BB2"/>
    <w:rsid w:val="006C6938"/>
    <w:rsid w:val="006D5397"/>
    <w:rsid w:val="006E279A"/>
    <w:rsid w:val="006E361E"/>
    <w:rsid w:val="006E39AB"/>
    <w:rsid w:val="006E4401"/>
    <w:rsid w:val="006E7EE4"/>
    <w:rsid w:val="006F158D"/>
    <w:rsid w:val="006F4ADB"/>
    <w:rsid w:val="0070016A"/>
    <w:rsid w:val="00705C0A"/>
    <w:rsid w:val="007117FC"/>
    <w:rsid w:val="007132F3"/>
    <w:rsid w:val="00715692"/>
    <w:rsid w:val="00716A89"/>
    <w:rsid w:val="00717620"/>
    <w:rsid w:val="00743FC7"/>
    <w:rsid w:val="007505CC"/>
    <w:rsid w:val="00750B0F"/>
    <w:rsid w:val="00751A10"/>
    <w:rsid w:val="007522BC"/>
    <w:rsid w:val="007536A8"/>
    <w:rsid w:val="007578D6"/>
    <w:rsid w:val="00761A23"/>
    <w:rsid w:val="007624C4"/>
    <w:rsid w:val="00764A91"/>
    <w:rsid w:val="007669CF"/>
    <w:rsid w:val="007742E7"/>
    <w:rsid w:val="0077657B"/>
    <w:rsid w:val="007778CD"/>
    <w:rsid w:val="00785799"/>
    <w:rsid w:val="0079414A"/>
    <w:rsid w:val="007962C0"/>
    <w:rsid w:val="007B2AA1"/>
    <w:rsid w:val="007B2E79"/>
    <w:rsid w:val="007B61AF"/>
    <w:rsid w:val="007C0895"/>
    <w:rsid w:val="007C1860"/>
    <w:rsid w:val="007D05BE"/>
    <w:rsid w:val="007D6AF6"/>
    <w:rsid w:val="007E32D8"/>
    <w:rsid w:val="0080469B"/>
    <w:rsid w:val="008062ED"/>
    <w:rsid w:val="008210A7"/>
    <w:rsid w:val="00833F45"/>
    <w:rsid w:val="00843373"/>
    <w:rsid w:val="00845689"/>
    <w:rsid w:val="00850C82"/>
    <w:rsid w:val="00857C43"/>
    <w:rsid w:val="008608D8"/>
    <w:rsid w:val="00862805"/>
    <w:rsid w:val="00867F27"/>
    <w:rsid w:val="0088137C"/>
    <w:rsid w:val="0089626A"/>
    <w:rsid w:val="008A31E9"/>
    <w:rsid w:val="008A6621"/>
    <w:rsid w:val="008B1514"/>
    <w:rsid w:val="008B1D05"/>
    <w:rsid w:val="008B3C1F"/>
    <w:rsid w:val="008B6480"/>
    <w:rsid w:val="008C2F6B"/>
    <w:rsid w:val="008E00D9"/>
    <w:rsid w:val="008E0740"/>
    <w:rsid w:val="008E370E"/>
    <w:rsid w:val="008E3AD9"/>
    <w:rsid w:val="008F1812"/>
    <w:rsid w:val="008F7F85"/>
    <w:rsid w:val="00906295"/>
    <w:rsid w:val="00911904"/>
    <w:rsid w:val="0091337F"/>
    <w:rsid w:val="00915C11"/>
    <w:rsid w:val="00915CD1"/>
    <w:rsid w:val="009170C2"/>
    <w:rsid w:val="009279AF"/>
    <w:rsid w:val="00944C22"/>
    <w:rsid w:val="00990972"/>
    <w:rsid w:val="009909BB"/>
    <w:rsid w:val="009933AA"/>
    <w:rsid w:val="0099679E"/>
    <w:rsid w:val="00996C2A"/>
    <w:rsid w:val="009A0AA9"/>
    <w:rsid w:val="009A3DA3"/>
    <w:rsid w:val="009A7964"/>
    <w:rsid w:val="009B3A6A"/>
    <w:rsid w:val="009C0108"/>
    <w:rsid w:val="009C15CA"/>
    <w:rsid w:val="009C6F43"/>
    <w:rsid w:val="009D22F8"/>
    <w:rsid w:val="009D77C9"/>
    <w:rsid w:val="009E0246"/>
    <w:rsid w:val="009E2DDF"/>
    <w:rsid w:val="009E4D38"/>
    <w:rsid w:val="009F57BB"/>
    <w:rsid w:val="00A0192E"/>
    <w:rsid w:val="00A02BAB"/>
    <w:rsid w:val="00A109D3"/>
    <w:rsid w:val="00A124C3"/>
    <w:rsid w:val="00A16756"/>
    <w:rsid w:val="00A241F6"/>
    <w:rsid w:val="00A25C9A"/>
    <w:rsid w:val="00A36BE0"/>
    <w:rsid w:val="00A40F19"/>
    <w:rsid w:val="00A4350C"/>
    <w:rsid w:val="00A47A74"/>
    <w:rsid w:val="00A53FEE"/>
    <w:rsid w:val="00A657A0"/>
    <w:rsid w:val="00A752CE"/>
    <w:rsid w:val="00A8338A"/>
    <w:rsid w:val="00A84C8D"/>
    <w:rsid w:val="00A90AFF"/>
    <w:rsid w:val="00A949F6"/>
    <w:rsid w:val="00AA6697"/>
    <w:rsid w:val="00AB0438"/>
    <w:rsid w:val="00AB0D89"/>
    <w:rsid w:val="00AB21C3"/>
    <w:rsid w:val="00AB547A"/>
    <w:rsid w:val="00AB5921"/>
    <w:rsid w:val="00AB706B"/>
    <w:rsid w:val="00AC4248"/>
    <w:rsid w:val="00AD0617"/>
    <w:rsid w:val="00AD0B7E"/>
    <w:rsid w:val="00AF0D1F"/>
    <w:rsid w:val="00AF1622"/>
    <w:rsid w:val="00AF2C48"/>
    <w:rsid w:val="00B03AEE"/>
    <w:rsid w:val="00B061CD"/>
    <w:rsid w:val="00B0695D"/>
    <w:rsid w:val="00B123C7"/>
    <w:rsid w:val="00B21235"/>
    <w:rsid w:val="00B27A52"/>
    <w:rsid w:val="00B31B26"/>
    <w:rsid w:val="00B460FE"/>
    <w:rsid w:val="00B47C82"/>
    <w:rsid w:val="00B5313A"/>
    <w:rsid w:val="00B54579"/>
    <w:rsid w:val="00B6089E"/>
    <w:rsid w:val="00B6150C"/>
    <w:rsid w:val="00B667CD"/>
    <w:rsid w:val="00B67074"/>
    <w:rsid w:val="00B72294"/>
    <w:rsid w:val="00B733BA"/>
    <w:rsid w:val="00B767A5"/>
    <w:rsid w:val="00B828AF"/>
    <w:rsid w:val="00B8542C"/>
    <w:rsid w:val="00B8579A"/>
    <w:rsid w:val="00B9291F"/>
    <w:rsid w:val="00B931B0"/>
    <w:rsid w:val="00B96337"/>
    <w:rsid w:val="00BA0342"/>
    <w:rsid w:val="00BA0838"/>
    <w:rsid w:val="00BA1F10"/>
    <w:rsid w:val="00BA1F7E"/>
    <w:rsid w:val="00BA2899"/>
    <w:rsid w:val="00BB3332"/>
    <w:rsid w:val="00BB433F"/>
    <w:rsid w:val="00BB663F"/>
    <w:rsid w:val="00BC00DF"/>
    <w:rsid w:val="00BC0E5E"/>
    <w:rsid w:val="00BC13BC"/>
    <w:rsid w:val="00BC4688"/>
    <w:rsid w:val="00BD6F91"/>
    <w:rsid w:val="00BE295F"/>
    <w:rsid w:val="00BF3512"/>
    <w:rsid w:val="00BF45A2"/>
    <w:rsid w:val="00BF622D"/>
    <w:rsid w:val="00C10A2C"/>
    <w:rsid w:val="00C12050"/>
    <w:rsid w:val="00C128C7"/>
    <w:rsid w:val="00C12FDD"/>
    <w:rsid w:val="00C30947"/>
    <w:rsid w:val="00C32F60"/>
    <w:rsid w:val="00C35777"/>
    <w:rsid w:val="00C4477F"/>
    <w:rsid w:val="00C44D12"/>
    <w:rsid w:val="00C44D67"/>
    <w:rsid w:val="00C61106"/>
    <w:rsid w:val="00C71785"/>
    <w:rsid w:val="00C7474C"/>
    <w:rsid w:val="00C75BBD"/>
    <w:rsid w:val="00C77CE4"/>
    <w:rsid w:val="00C85243"/>
    <w:rsid w:val="00C950D1"/>
    <w:rsid w:val="00C96398"/>
    <w:rsid w:val="00CA11BB"/>
    <w:rsid w:val="00CA1C25"/>
    <w:rsid w:val="00CB10E1"/>
    <w:rsid w:val="00CD2D76"/>
    <w:rsid w:val="00CE0EB9"/>
    <w:rsid w:val="00CE10EA"/>
    <w:rsid w:val="00CF0C2B"/>
    <w:rsid w:val="00CF1E7D"/>
    <w:rsid w:val="00CF4D67"/>
    <w:rsid w:val="00CF6A57"/>
    <w:rsid w:val="00D007B0"/>
    <w:rsid w:val="00D0285F"/>
    <w:rsid w:val="00D063C7"/>
    <w:rsid w:val="00D07663"/>
    <w:rsid w:val="00D12A3A"/>
    <w:rsid w:val="00D15B56"/>
    <w:rsid w:val="00D1749A"/>
    <w:rsid w:val="00D2270C"/>
    <w:rsid w:val="00D279B1"/>
    <w:rsid w:val="00D322C0"/>
    <w:rsid w:val="00D41C74"/>
    <w:rsid w:val="00D4739B"/>
    <w:rsid w:val="00D54039"/>
    <w:rsid w:val="00D566B3"/>
    <w:rsid w:val="00D6116A"/>
    <w:rsid w:val="00D61790"/>
    <w:rsid w:val="00D61A6F"/>
    <w:rsid w:val="00D72977"/>
    <w:rsid w:val="00DA0B88"/>
    <w:rsid w:val="00DA75F2"/>
    <w:rsid w:val="00DB006A"/>
    <w:rsid w:val="00DB42F0"/>
    <w:rsid w:val="00DD33B0"/>
    <w:rsid w:val="00DD40BB"/>
    <w:rsid w:val="00DE0040"/>
    <w:rsid w:val="00DE5B88"/>
    <w:rsid w:val="00DE6F85"/>
    <w:rsid w:val="00DF3F29"/>
    <w:rsid w:val="00E0008F"/>
    <w:rsid w:val="00E004BA"/>
    <w:rsid w:val="00E12CC3"/>
    <w:rsid w:val="00E32259"/>
    <w:rsid w:val="00E326AB"/>
    <w:rsid w:val="00E350EE"/>
    <w:rsid w:val="00E36F73"/>
    <w:rsid w:val="00E41007"/>
    <w:rsid w:val="00E451D4"/>
    <w:rsid w:val="00E54A4D"/>
    <w:rsid w:val="00E61F6C"/>
    <w:rsid w:val="00E63F1D"/>
    <w:rsid w:val="00E66AA5"/>
    <w:rsid w:val="00E72AEE"/>
    <w:rsid w:val="00E76FE0"/>
    <w:rsid w:val="00E8075C"/>
    <w:rsid w:val="00E82D8A"/>
    <w:rsid w:val="00E90D4D"/>
    <w:rsid w:val="00EA280D"/>
    <w:rsid w:val="00EA37D2"/>
    <w:rsid w:val="00EA3CA5"/>
    <w:rsid w:val="00EB1329"/>
    <w:rsid w:val="00EB38FA"/>
    <w:rsid w:val="00EB6533"/>
    <w:rsid w:val="00EC4FBB"/>
    <w:rsid w:val="00ED33C8"/>
    <w:rsid w:val="00ED4150"/>
    <w:rsid w:val="00ED70A4"/>
    <w:rsid w:val="00EE47D7"/>
    <w:rsid w:val="00EF1C52"/>
    <w:rsid w:val="00EF2DEB"/>
    <w:rsid w:val="00F03EC2"/>
    <w:rsid w:val="00F0490F"/>
    <w:rsid w:val="00F10318"/>
    <w:rsid w:val="00F12462"/>
    <w:rsid w:val="00F24C1D"/>
    <w:rsid w:val="00F250C4"/>
    <w:rsid w:val="00F3759F"/>
    <w:rsid w:val="00F41E86"/>
    <w:rsid w:val="00F4239B"/>
    <w:rsid w:val="00F42CBA"/>
    <w:rsid w:val="00F50548"/>
    <w:rsid w:val="00F52115"/>
    <w:rsid w:val="00F544E8"/>
    <w:rsid w:val="00F71F58"/>
    <w:rsid w:val="00F77AB0"/>
    <w:rsid w:val="00F8101D"/>
    <w:rsid w:val="00F82EFD"/>
    <w:rsid w:val="00F930FF"/>
    <w:rsid w:val="00FA1626"/>
    <w:rsid w:val="00FA39EC"/>
    <w:rsid w:val="00FB11AE"/>
    <w:rsid w:val="00FB5926"/>
    <w:rsid w:val="00FC07C7"/>
    <w:rsid w:val="00FD44E9"/>
    <w:rsid w:val="00FE121E"/>
    <w:rsid w:val="00FE552F"/>
    <w:rsid w:val="00FF1033"/>
    <w:rsid w:val="00FF1572"/>
    <w:rsid w:val="00FF5A22"/>
    <w:rsid w:val="09462212"/>
    <w:rsid w:val="0BDE3A97"/>
    <w:rsid w:val="17945AF3"/>
    <w:rsid w:val="2BD34714"/>
    <w:rsid w:val="34237E35"/>
    <w:rsid w:val="35546E7E"/>
    <w:rsid w:val="36EF3FDE"/>
    <w:rsid w:val="53BC7AA4"/>
    <w:rsid w:val="6CB90DC0"/>
    <w:rsid w:val="724A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3"/>
    <w:qFormat/>
    <w:uiPriority w:val="0"/>
    <w:pPr>
      <w:jc w:val="center"/>
    </w:pPr>
    <w:rPr>
      <w:rFonts w:eastAsia="方正大标宋简体" w:asciiTheme="minorHAnsi" w:hAnsiTheme="minorHAnsi" w:cstheme="minorBidi"/>
      <w:sz w:val="44"/>
      <w:szCs w:val="24"/>
    </w:rPr>
  </w:style>
  <w:style w:type="paragraph" w:styleId="3">
    <w:name w:val="Date"/>
    <w:basedOn w:val="1"/>
    <w:next w:val="1"/>
    <w:link w:val="17"/>
    <w:qFormat/>
    <w:uiPriority w:val="0"/>
    <w:pPr>
      <w:ind w:left="100" w:leftChars="2500"/>
    </w:pPr>
    <w:rPr>
      <w:rFonts w:ascii="宋体" w:hAnsi="宋体" w:eastAsia="仿宋_GB2312"/>
      <w:sz w:val="32"/>
      <w:szCs w:val="20"/>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2"/>
    <w:link w:val="25"/>
    <w:unhideWhenUsed/>
    <w:qFormat/>
    <w:uiPriority w:val="0"/>
    <w:pPr>
      <w:spacing w:after="120"/>
      <w:ind w:firstLine="420" w:firstLineChars="100"/>
      <w:jc w:val="both"/>
    </w:pPr>
    <w:rPr>
      <w:rFonts w:eastAsiaTheme="minorEastAsia"/>
      <w:sz w:val="21"/>
      <w:szCs w:val="22"/>
    </w:rPr>
  </w:style>
  <w:style w:type="character" w:styleId="11">
    <w:name w:val="page number"/>
    <w:qFormat/>
    <w:uiPriority w:val="0"/>
  </w:style>
  <w:style w:type="character" w:customStyle="1" w:styleId="12">
    <w:name w:val="页脚 Char"/>
    <w:link w:val="5"/>
    <w:qFormat/>
    <w:uiPriority w:val="99"/>
    <w:rPr>
      <w:rFonts w:ascii="Calibri" w:hAnsi="Calibri" w:eastAsia="宋体" w:cs="Times New Roman"/>
      <w:sz w:val="18"/>
      <w:szCs w:val="18"/>
    </w:rPr>
  </w:style>
  <w:style w:type="character" w:customStyle="1" w:styleId="13">
    <w:name w:val="页眉 Char"/>
    <w:link w:val="6"/>
    <w:qFormat/>
    <w:uiPriority w:val="99"/>
    <w:rPr>
      <w:rFonts w:ascii="Calibri" w:hAnsi="Calibri" w:eastAsia="宋体" w:cs="Times New Roman"/>
      <w:sz w:val="18"/>
      <w:szCs w:val="18"/>
    </w:rPr>
  </w:style>
  <w:style w:type="character" w:customStyle="1" w:styleId="14">
    <w:name w:val="批注框文本 Char"/>
    <w:link w:val="4"/>
    <w:semiHidden/>
    <w:qFormat/>
    <w:uiPriority w:val="99"/>
    <w:rPr>
      <w:kern w:val="2"/>
      <w:sz w:val="18"/>
      <w:szCs w:val="18"/>
    </w:rPr>
  </w:style>
  <w:style w:type="paragraph" w:customStyle="1" w:styleId="15">
    <w:name w:val="正文（绿盟科技）"/>
    <w:link w:val="16"/>
    <w:qFormat/>
    <w:uiPriority w:val="0"/>
    <w:pPr>
      <w:spacing w:line="300" w:lineRule="auto"/>
    </w:pPr>
    <w:rPr>
      <w:rFonts w:ascii="Arial" w:hAnsi="Arial" w:eastAsia="宋体" w:cs="Times New Roman"/>
      <w:sz w:val="21"/>
      <w:szCs w:val="21"/>
      <w:lang w:val="en-US" w:eastAsia="zh-CN" w:bidi="ar-SA"/>
    </w:rPr>
  </w:style>
  <w:style w:type="character" w:customStyle="1" w:styleId="16">
    <w:name w:val="正文（绿盟科技） Char"/>
    <w:basedOn w:val="10"/>
    <w:link w:val="15"/>
    <w:qFormat/>
    <w:uiPriority w:val="0"/>
    <w:rPr>
      <w:rFonts w:ascii="Arial" w:hAnsi="Arial"/>
      <w:sz w:val="21"/>
      <w:szCs w:val="21"/>
      <w:lang w:val="en-US" w:eastAsia="zh-CN" w:bidi="ar-SA"/>
    </w:rPr>
  </w:style>
  <w:style w:type="character" w:customStyle="1" w:styleId="17">
    <w:name w:val="日期 Char"/>
    <w:basedOn w:val="10"/>
    <w:link w:val="3"/>
    <w:qFormat/>
    <w:uiPriority w:val="0"/>
    <w:rPr>
      <w:rFonts w:ascii="宋体" w:hAnsi="宋体" w:eastAsia="仿宋_GB2312"/>
      <w:kern w:val="2"/>
      <w:sz w:val="32"/>
    </w:r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9">
    <w:name w:val="ca-22"/>
    <w:basedOn w:val="10"/>
    <w:qFormat/>
    <w:uiPriority w:val="0"/>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列出段落1"/>
    <w:basedOn w:val="1"/>
    <w:qFormat/>
    <w:uiPriority w:val="34"/>
    <w:pPr>
      <w:ind w:firstLine="420" w:firstLineChars="200"/>
    </w:pPr>
    <w:rPr>
      <w:rFonts w:ascii="Times New Roman" w:hAnsi="Times New Roman"/>
      <w:szCs w:val="24"/>
    </w:rPr>
  </w:style>
  <w:style w:type="character" w:customStyle="1" w:styleId="22">
    <w:name w:val="正文文本 Char"/>
    <w:basedOn w:val="10"/>
    <w:link w:val="2"/>
    <w:semiHidden/>
    <w:qFormat/>
    <w:uiPriority w:val="99"/>
    <w:rPr>
      <w:kern w:val="2"/>
      <w:sz w:val="21"/>
      <w:szCs w:val="22"/>
    </w:rPr>
  </w:style>
  <w:style w:type="character" w:customStyle="1" w:styleId="23">
    <w:name w:val="正文文本 Char1"/>
    <w:basedOn w:val="10"/>
    <w:link w:val="2"/>
    <w:qFormat/>
    <w:uiPriority w:val="0"/>
    <w:rPr>
      <w:rFonts w:eastAsia="方正大标宋简体" w:asciiTheme="minorHAnsi" w:hAnsiTheme="minorHAnsi" w:cstheme="minorBidi"/>
      <w:kern w:val="2"/>
      <w:sz w:val="44"/>
      <w:szCs w:val="24"/>
    </w:rPr>
  </w:style>
  <w:style w:type="paragraph" w:customStyle="1" w:styleId="24">
    <w:name w:val="List Paragraph"/>
    <w:basedOn w:val="1"/>
    <w:qFormat/>
    <w:uiPriority w:val="34"/>
    <w:pPr>
      <w:ind w:firstLine="420" w:firstLineChars="200"/>
    </w:pPr>
  </w:style>
  <w:style w:type="character" w:customStyle="1" w:styleId="25">
    <w:name w:val="正文首行缩进 Char"/>
    <w:basedOn w:val="23"/>
    <w:link w:val="8"/>
    <w:qFormat/>
    <w:uiPriority w:val="0"/>
    <w:rPr>
      <w:rFonts w:eastAsiaTheme="minorEastAsia"/>
      <w:sz w:val="21"/>
      <w:szCs w:val="22"/>
    </w:rPr>
  </w:style>
  <w:style w:type="paragraph" w:customStyle="1" w:styleId="26">
    <w:name w:val="正文首行缩进 21"/>
    <w:basedOn w:val="1"/>
    <w:qFormat/>
    <w:uiPriority w:val="0"/>
    <w:pPr>
      <w:ind w:left="420" w:leftChars="200" w:firstLine="210"/>
    </w:pPr>
    <w:rPr>
      <w:rFonts w:cs="Calibri" w:asciiTheme="minorHAnsi" w:hAnsiTheme="minorHAnsi" w:eastAsiaTheme="minorEastAsia"/>
      <w:szCs w:val="21"/>
    </w:rPr>
  </w:style>
  <w:style w:type="character" w:customStyle="1" w:styleId="27">
    <w:name w:val="NormalCharacter"/>
    <w:link w:val="28"/>
    <w:qFormat/>
    <w:uiPriority w:val="0"/>
    <w:rPr>
      <w:szCs w:val="21"/>
    </w:rPr>
  </w:style>
  <w:style w:type="paragraph" w:customStyle="1" w:styleId="28">
    <w:name w:val="UserStyle_1"/>
    <w:basedOn w:val="1"/>
    <w:link w:val="27"/>
    <w:qFormat/>
    <w:uiPriority w:val="0"/>
    <w:rPr>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7FFA6-9008-402E-B319-13BA8B439C28}">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26</Pages>
  <Words>2000</Words>
  <Characters>11400</Characters>
  <Lines>95</Lines>
  <Paragraphs>26</Paragraphs>
  <TotalTime>2</TotalTime>
  <ScaleCrop>false</ScaleCrop>
  <LinksUpToDate>false</LinksUpToDate>
  <CharactersWithSpaces>13374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2024-04-22T08:18:00Z</dcterms:created>
  <dc:creator>办公室文印岗</dc:creator>
  <cp:lastModifiedBy>匿名用户</cp:lastModifiedBy>
  <cp:lastPrinted>2025-04-18T07:25:00Z</cp:lastPrinted>
  <dcterms:modified xsi:type="dcterms:W3CDTF">2025-04-24T06:11:28Z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