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42" w:rsidRDefault="009B4D42">
      <w:pPr>
        <w:spacing w:beforeLines="100" w:line="700" w:lineRule="exact"/>
        <w:jc w:val="left"/>
        <w:rPr>
          <w:rFonts w:ascii="宋体" w:hAnsi="宋体" w:hint="eastAsia"/>
          <w:b/>
          <w:sz w:val="36"/>
          <w:szCs w:val="36"/>
          <w:lang w:val="en-US" w:eastAsia="zh-CN"/>
        </w:rPr>
      </w:pPr>
      <w:r>
        <w:rPr>
          <w:rFonts w:ascii="宋体" w:hAnsi="宋体" w:cs="宋体"/>
          <w:kern w:val="0"/>
          <w:sz w:val="28"/>
          <w:szCs w:val="28"/>
        </w:rPr>
        <w:pict>
          <v:shapetype id="_x0000_t202" coordsize="21600,21600" o:spt="202" path="m,l,21600r21600,l21600,xe">
            <v:stroke joinstyle="miter"/>
            <v:path gradientshapeok="t" o:connecttype="rect"/>
          </v:shapetype>
          <v:shape id="Text Box 4" o:spid="_x0000_s1026" type="#_x0000_t202" style="position:absolute;margin-left:285pt;margin-top:-13.65pt;width:194.6pt;height:23.55pt;z-index:251657216">
            <v:textbox style="mso-fit-shape-to-text:t">
              <w:txbxContent>
                <w:p w:rsidR="009B4D42" w:rsidRDefault="009B4D42">
                  <w:pPr>
                    <w:rPr>
                      <w:rFonts w:ascii="宋体" w:hAnsi="宋体"/>
                      <w:b/>
                    </w:rPr>
                  </w:pPr>
                  <w:r>
                    <w:rPr>
                      <w:rFonts w:ascii="宋体" w:hAnsi="宋体" w:hint="eastAsia"/>
                      <w:b/>
                    </w:rPr>
                    <w:t>理财非存款、产品有风险、投资须谨慎</w:t>
                  </w:r>
                </w:p>
              </w:txbxContent>
            </v:textbox>
          </v:shape>
        </w:pict>
      </w:r>
      <w:r>
        <w:rPr>
          <w:rFonts w:ascii="宋体" w:hAnsi="宋体" w:cs="宋体" w:hint="eastAsia"/>
          <w:kern w:val="0"/>
          <w:sz w:val="28"/>
          <w:szCs w:val="28"/>
        </w:rPr>
        <w:t>产品名称及编号：</w:t>
      </w:r>
      <w:r>
        <w:rPr>
          <w:rFonts w:ascii="宋体" w:hAnsi="宋体" w:cs="宋体" w:hint="eastAsia"/>
          <w:kern w:val="0"/>
          <w:szCs w:val="21"/>
          <w:u w:val="single"/>
        </w:rPr>
        <w:t>百福理财禧临门系列</w:t>
      </w:r>
      <w:r w:rsidR="00BE54E7">
        <w:rPr>
          <w:rFonts w:ascii="宋体" w:hAnsi="宋体" w:cs="宋体" w:hint="eastAsia"/>
          <w:color w:val="FF0000"/>
          <w:kern w:val="0"/>
          <w:szCs w:val="21"/>
          <w:u w:val="single"/>
        </w:rPr>
        <w:t>CG15920150703002</w:t>
      </w:r>
      <w:r>
        <w:rPr>
          <w:rFonts w:ascii="宋体" w:hAnsi="宋体" w:cs="宋体" w:hint="eastAsia"/>
          <w:kern w:val="0"/>
          <w:szCs w:val="21"/>
          <w:u w:val="single"/>
        </w:rPr>
        <w:t>号</w:t>
      </w:r>
      <w:r>
        <w:rPr>
          <w:rFonts w:ascii="宋体" w:hAnsi="宋体" w:cs="宋体" w:hint="eastAsia"/>
          <w:kern w:val="0"/>
          <w:sz w:val="28"/>
          <w:szCs w:val="28"/>
        </w:rPr>
        <w:t xml:space="preserve">  协议书编号：</w:t>
      </w:r>
      <w:r>
        <w:rPr>
          <w:rFonts w:ascii="宋体" w:hAnsi="宋体" w:cs="宋体" w:hint="eastAsia"/>
          <w:kern w:val="0"/>
          <w:sz w:val="28"/>
          <w:szCs w:val="28"/>
          <w:u w:val="single"/>
        </w:rPr>
        <w:t xml:space="preserve">             </w:t>
      </w:r>
      <w:r>
        <w:rPr>
          <w:rFonts w:ascii="宋体" w:hAnsi="宋体" w:hint="eastAsia"/>
          <w:sz w:val="24"/>
          <w:lang w:val="en-US" w:eastAsia="zh-CN"/>
        </w:rPr>
        <w:t xml:space="preserve"> </w:t>
      </w:r>
    </w:p>
    <w:p w:rsidR="009B4D42" w:rsidRDefault="007F085E">
      <w:pPr>
        <w:spacing w:line="700" w:lineRule="exact"/>
        <w:ind w:firstLineChars="147" w:firstLine="531"/>
        <w:jc w:val="center"/>
        <w:rPr>
          <w:rFonts w:ascii="宋体" w:hAnsi="宋体" w:hint="eastAsia"/>
          <w:b/>
          <w:sz w:val="36"/>
          <w:szCs w:val="36"/>
        </w:rPr>
      </w:pPr>
      <w:r>
        <w:rPr>
          <w:rFonts w:ascii="宋体" w:hAnsi="宋体" w:hint="eastAsia"/>
          <w:b/>
          <w:noProof/>
          <w:sz w:val="36"/>
          <w:szCs w:val="36"/>
        </w:rPr>
        <w:drawing>
          <wp:anchor distT="0" distB="0" distL="114300" distR="114300" simplePos="0" relativeHeight="251658240" behindDoc="0" locked="0" layoutInCell="1" allowOverlap="1">
            <wp:simplePos x="0" y="0"/>
            <wp:positionH relativeFrom="column">
              <wp:posOffset>2512695</wp:posOffset>
            </wp:positionH>
            <wp:positionV relativeFrom="page">
              <wp:posOffset>1502410</wp:posOffset>
            </wp:positionV>
            <wp:extent cx="342900" cy="229870"/>
            <wp:effectExtent l="1905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6" cstate="print"/>
                    <a:srcRect/>
                    <a:stretch>
                      <a:fillRect/>
                    </a:stretch>
                  </pic:blipFill>
                  <pic:spPr bwMode="auto">
                    <a:xfrm>
                      <a:off x="0" y="0"/>
                      <a:ext cx="342900" cy="229870"/>
                    </a:xfrm>
                    <a:prstGeom prst="rect">
                      <a:avLst/>
                    </a:prstGeom>
                    <a:noFill/>
                    <a:ln w="9525">
                      <a:noFill/>
                      <a:miter lim="800000"/>
                      <a:headEnd/>
                      <a:tailEnd/>
                    </a:ln>
                  </pic:spPr>
                </pic:pic>
              </a:graphicData>
            </a:graphic>
          </wp:anchor>
        </w:drawing>
      </w:r>
      <w:r w:rsidR="009B4D42">
        <w:rPr>
          <w:rFonts w:ascii="宋体" w:hAnsi="宋体" w:hint="eastAsia"/>
          <w:b/>
          <w:sz w:val="36"/>
          <w:szCs w:val="36"/>
        </w:rPr>
        <w:t>风险揭示书</w:t>
      </w:r>
    </w:p>
    <w:p w:rsidR="009B4D42" w:rsidRDefault="009B4D42">
      <w:pPr>
        <w:widowControl/>
        <w:spacing w:line="400" w:lineRule="exact"/>
        <w:ind w:firstLineChars="200" w:firstLine="420"/>
        <w:rPr>
          <w:rFonts w:hint="eastAsia"/>
        </w:rPr>
      </w:pPr>
      <w:r>
        <w:rPr>
          <w:rFonts w:hint="eastAsia"/>
        </w:rPr>
        <w:t>如影响您风险承受能力的因素发生变化，请及时完成风险承受能力评估。请您在签订理财产品销售协议之前仔细阅读本理财产品</w:t>
      </w:r>
      <w:r>
        <w:rPr>
          <w:rFonts w:ascii="宋体" w:hAnsi="宋体" w:cs="宋体" w:hint="eastAsia"/>
          <w:kern w:val="0"/>
          <w:szCs w:val="21"/>
        </w:rPr>
        <w:t>《风险揭示书》、</w:t>
      </w:r>
      <w:r>
        <w:rPr>
          <w:rFonts w:hint="eastAsia"/>
        </w:rPr>
        <w:t>《产品说明书》、《理财产品销售协议书》等销售文件，充分了解理财产品具体情况</w:t>
      </w:r>
      <w:r>
        <w:rPr>
          <w:rFonts w:ascii="宋体" w:hAnsi="宋体" w:cs="宋体"/>
          <w:kern w:val="0"/>
          <w:szCs w:val="21"/>
        </w:rPr>
        <w:t>，在充分了解并清楚知晓产品蕴含风险的基础上，通过自身判断自主参与</w:t>
      </w:r>
      <w:r>
        <w:rPr>
          <w:rFonts w:ascii="宋体" w:hAnsi="宋体" w:cs="宋体" w:hint="eastAsia"/>
          <w:kern w:val="0"/>
          <w:szCs w:val="21"/>
        </w:rPr>
        <w:t>投资</w:t>
      </w:r>
      <w:r>
        <w:rPr>
          <w:rFonts w:ascii="宋体" w:hAnsi="宋体" w:cs="宋体"/>
          <w:kern w:val="0"/>
          <w:szCs w:val="21"/>
        </w:rPr>
        <w:t>，并自愿承担相关风险</w:t>
      </w:r>
      <w:r>
        <w:rPr>
          <w:rFonts w:hint="eastAsia"/>
        </w:rPr>
        <w:t>。本理财产品类型、期限、风险评级结果、适合购买的客户，以及最不利投资情形下的投资结果详见本理财产品《产品说明书》中“产品概述”、“产品收益测算与支付”等相关内容。本理财产品为：</w:t>
      </w:r>
    </w:p>
    <w:p w:rsidR="009B4D42" w:rsidRDefault="009B4D42">
      <w:pPr>
        <w:widowControl/>
        <w:spacing w:line="400" w:lineRule="exact"/>
        <w:ind w:firstLineChars="200" w:firstLine="420"/>
        <w:rPr>
          <w:rFonts w:hint="eastAsia"/>
        </w:rPr>
      </w:pPr>
      <w:r>
        <w:rPr>
          <w:rFonts w:hint="eastAsia"/>
        </w:rPr>
        <w:t>□保证收益理财产品，有投资风险，只能获得合同明确承诺的收益，您应充分认识投资风险，谨慎投资。</w:t>
      </w:r>
    </w:p>
    <w:p w:rsidR="009B4D42" w:rsidRDefault="009B4D42">
      <w:pPr>
        <w:widowControl/>
        <w:spacing w:line="400" w:lineRule="exact"/>
        <w:ind w:firstLineChars="200" w:firstLine="420"/>
        <w:rPr>
          <w:rFonts w:hint="eastAsia"/>
        </w:rPr>
      </w:pPr>
      <w:r>
        <w:rPr>
          <w:rFonts w:ascii="宋体" w:hAnsi="宋体" w:hint="eastAsia"/>
        </w:rPr>
        <w:t>√</w:t>
      </w:r>
      <w:r>
        <w:rPr>
          <w:rFonts w:hint="eastAsia"/>
        </w:rPr>
        <w:t>保本浮动收益理财产品，有投资风险，只保障理财资金本金，不保证理财收益，您应当充分认识投资风险，谨慎投资。</w:t>
      </w:r>
    </w:p>
    <w:p w:rsidR="009B4D42" w:rsidRDefault="009B4D42">
      <w:pPr>
        <w:widowControl/>
        <w:spacing w:line="400" w:lineRule="exact"/>
        <w:ind w:firstLineChars="200" w:firstLine="420"/>
        <w:rPr>
          <w:rFonts w:hint="eastAsia"/>
        </w:rPr>
      </w:pPr>
      <w:r>
        <w:rPr>
          <w:rFonts w:hint="eastAsia"/>
        </w:rPr>
        <w:t>□非保本浮动收益理财产品，不保证本金和收益，可能因市场波动而蒙受不同程度的损失，您应当充分认识投资风险，谨慎投资。</w:t>
      </w:r>
    </w:p>
    <w:p w:rsidR="009B4D42" w:rsidRDefault="009B4D42">
      <w:pPr>
        <w:widowControl/>
        <w:spacing w:line="400" w:lineRule="exact"/>
        <w:ind w:left="2" w:firstLineChars="200" w:firstLine="422"/>
        <w:rPr>
          <w:rFonts w:ascii="宋体" w:hAnsi="宋体" w:cs="宋体" w:hint="eastAsia"/>
          <w:b/>
          <w:kern w:val="0"/>
          <w:szCs w:val="21"/>
        </w:rPr>
      </w:pPr>
      <w:r>
        <w:rPr>
          <w:rFonts w:ascii="宋体" w:hAnsi="宋体" w:cs="宋体" w:hint="eastAsia"/>
          <w:b/>
          <w:kern w:val="0"/>
          <w:szCs w:val="21"/>
        </w:rPr>
        <w:t>一、</w:t>
      </w:r>
      <w:r>
        <w:rPr>
          <w:rFonts w:ascii="宋体" w:hAnsi="宋体" w:cs="宋体"/>
          <w:b/>
          <w:kern w:val="0"/>
          <w:szCs w:val="21"/>
        </w:rPr>
        <w:t>政策风险</w:t>
      </w:r>
    </w:p>
    <w:p w:rsidR="009B4D42" w:rsidRDefault="009B4D42">
      <w:pPr>
        <w:widowControl/>
        <w:spacing w:line="400" w:lineRule="exact"/>
        <w:ind w:left="2" w:firstLineChars="200" w:firstLine="420"/>
        <w:rPr>
          <w:rFonts w:ascii="宋体" w:hAnsi="宋体" w:cs="宋体"/>
          <w:kern w:val="0"/>
          <w:szCs w:val="21"/>
        </w:rPr>
      </w:pPr>
      <w:r>
        <w:rPr>
          <w:rFonts w:ascii="宋体" w:hAnsi="宋体" w:cs="宋体" w:hint="eastAsia"/>
          <w:kern w:val="0"/>
          <w:szCs w:val="21"/>
        </w:rPr>
        <w:t>本理财</w:t>
      </w:r>
      <w:r>
        <w:rPr>
          <w:rFonts w:ascii="宋体" w:hAnsi="宋体" w:cs="宋体"/>
          <w:kern w:val="0"/>
          <w:szCs w:val="21"/>
        </w:rPr>
        <w:t>产品是针对当前的相关法规和政策设计的。如国家宏观政策以及相关法规政策发生变化，将影响</w:t>
      </w:r>
      <w:r>
        <w:rPr>
          <w:rFonts w:ascii="宋体" w:hAnsi="宋体" w:cs="宋体" w:hint="eastAsia"/>
          <w:kern w:val="0"/>
          <w:szCs w:val="21"/>
        </w:rPr>
        <w:t>产品</w:t>
      </w:r>
      <w:r>
        <w:rPr>
          <w:rFonts w:ascii="宋体" w:hAnsi="宋体" w:cs="宋体"/>
          <w:kern w:val="0"/>
          <w:szCs w:val="21"/>
        </w:rPr>
        <w:t>的受理、投资、管理、</w:t>
      </w:r>
      <w:r>
        <w:rPr>
          <w:rFonts w:ascii="宋体" w:hAnsi="宋体" w:cs="宋体" w:hint="eastAsia"/>
          <w:kern w:val="0"/>
          <w:szCs w:val="21"/>
        </w:rPr>
        <w:t>偿还</w:t>
      </w:r>
      <w:r>
        <w:rPr>
          <w:rFonts w:ascii="宋体" w:hAnsi="宋体" w:cs="宋体"/>
          <w:kern w:val="0"/>
          <w:szCs w:val="21"/>
        </w:rPr>
        <w:t xml:space="preserve">等的正常进行，进而导致产品资金损失。 </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二、信用风险</w:t>
      </w:r>
    </w:p>
    <w:p w:rsidR="009B4D42" w:rsidRDefault="009B4D42">
      <w:pPr>
        <w:widowControl/>
        <w:spacing w:line="400" w:lineRule="exact"/>
        <w:ind w:firstLineChars="200" w:firstLine="420"/>
        <w:rPr>
          <w:rFonts w:ascii="宋体" w:hAnsi="宋体" w:cs="宋体" w:hint="eastAsia"/>
          <w:kern w:val="0"/>
          <w:szCs w:val="21"/>
        </w:rPr>
      </w:pPr>
      <w:r>
        <w:rPr>
          <w:rFonts w:ascii="宋体" w:hAnsi="宋体" w:cs="宋体" w:hint="eastAsia"/>
          <w:kern w:val="0"/>
          <w:szCs w:val="21"/>
        </w:rPr>
        <w:t>本理财产品的收益和风险主要受制于交易对手的信用风险以及所投资标的的发行人和担保人（如有）的信用风险，例如其破产或未按期足额偿还债务等，并受银行结算操作风险的影响等，</w:t>
      </w:r>
      <w:r>
        <w:rPr>
          <w:rFonts w:ascii="宋体" w:hAnsi="宋体" w:cs="宋体"/>
          <w:kern w:val="0"/>
          <w:szCs w:val="21"/>
        </w:rPr>
        <w:t>将影响</w:t>
      </w:r>
      <w:r>
        <w:rPr>
          <w:rFonts w:ascii="宋体" w:hAnsi="宋体" w:cs="宋体" w:hint="eastAsia"/>
          <w:kern w:val="0"/>
          <w:szCs w:val="21"/>
        </w:rPr>
        <w:t>产品</w:t>
      </w:r>
      <w:r>
        <w:rPr>
          <w:rFonts w:ascii="宋体" w:hAnsi="宋体" w:cs="宋体"/>
          <w:kern w:val="0"/>
          <w:szCs w:val="21"/>
        </w:rPr>
        <w:t>的投资、管理、</w:t>
      </w:r>
      <w:r>
        <w:rPr>
          <w:rFonts w:ascii="宋体" w:hAnsi="宋体" w:cs="宋体" w:hint="eastAsia"/>
          <w:kern w:val="0"/>
          <w:szCs w:val="21"/>
        </w:rPr>
        <w:t>偿还</w:t>
      </w:r>
      <w:r>
        <w:rPr>
          <w:rFonts w:ascii="宋体" w:hAnsi="宋体" w:cs="宋体"/>
          <w:kern w:val="0"/>
          <w:szCs w:val="21"/>
        </w:rPr>
        <w:t>等的正常进行，进而导致产品资金损失。</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三、</w:t>
      </w:r>
      <w:r>
        <w:rPr>
          <w:rFonts w:ascii="宋体" w:hAnsi="宋体" w:cs="宋体"/>
          <w:b/>
          <w:kern w:val="0"/>
          <w:szCs w:val="21"/>
        </w:rPr>
        <w:t>市场风险</w:t>
      </w:r>
    </w:p>
    <w:p w:rsidR="009B4D42" w:rsidRDefault="009B4D42">
      <w:pPr>
        <w:widowControl/>
        <w:spacing w:line="400" w:lineRule="exact"/>
        <w:ind w:firstLineChars="200" w:firstLine="420"/>
        <w:rPr>
          <w:rFonts w:ascii="宋体" w:hAnsi="宋体" w:cs="宋体" w:hint="eastAsia"/>
          <w:b/>
          <w:bCs/>
          <w:kern w:val="0"/>
          <w:szCs w:val="21"/>
        </w:rPr>
      </w:pPr>
      <w:r>
        <w:rPr>
          <w:rFonts w:ascii="宋体" w:hAnsi="宋体" w:cs="宋体" w:hint="eastAsia"/>
          <w:kern w:val="0"/>
          <w:szCs w:val="21"/>
        </w:rPr>
        <w:t>本理财</w:t>
      </w:r>
      <w:r>
        <w:rPr>
          <w:rFonts w:ascii="宋体" w:hAnsi="宋体" w:cs="宋体"/>
          <w:kern w:val="0"/>
          <w:szCs w:val="21"/>
        </w:rPr>
        <w:t>产品项下的预期</w:t>
      </w:r>
      <w:r>
        <w:rPr>
          <w:rFonts w:ascii="宋体" w:hAnsi="宋体" w:cs="宋体" w:hint="eastAsia"/>
          <w:kern w:val="0"/>
          <w:szCs w:val="21"/>
        </w:rPr>
        <w:t>最高</w:t>
      </w:r>
      <w:r>
        <w:rPr>
          <w:rFonts w:ascii="宋体" w:hAnsi="宋体" w:cs="宋体"/>
          <w:kern w:val="0"/>
          <w:szCs w:val="21"/>
        </w:rPr>
        <w:t>年化收益率根据投资者</w:t>
      </w:r>
      <w:r>
        <w:rPr>
          <w:rFonts w:ascii="宋体" w:hAnsi="宋体" w:cs="宋体" w:hint="eastAsia"/>
          <w:kern w:val="0"/>
          <w:szCs w:val="21"/>
        </w:rPr>
        <w:t>预</w:t>
      </w:r>
      <w:r>
        <w:rPr>
          <w:rFonts w:ascii="宋体" w:hAnsi="宋体" w:cs="宋体"/>
          <w:kern w:val="0"/>
          <w:szCs w:val="21"/>
        </w:rPr>
        <w:t>购当日</w:t>
      </w:r>
      <w:r>
        <w:rPr>
          <w:rFonts w:ascii="宋体" w:hAnsi="宋体" w:cs="宋体" w:hint="eastAsia"/>
          <w:kern w:val="0"/>
          <w:szCs w:val="21"/>
        </w:rPr>
        <w:t>产品发行人</w:t>
      </w:r>
      <w:r>
        <w:rPr>
          <w:rFonts w:ascii="宋体" w:hAnsi="宋体" w:cs="宋体"/>
          <w:kern w:val="0"/>
          <w:szCs w:val="21"/>
        </w:rPr>
        <w:t>公布的收益率确定，在投资期内，利率上升，该投资期的收益率不随市场利率的上升而提高，由此产生的利率风险由投资者自行承担。</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四、</w:t>
      </w:r>
      <w:r>
        <w:rPr>
          <w:rFonts w:ascii="宋体" w:hAnsi="宋体" w:cs="宋体"/>
          <w:b/>
          <w:kern w:val="0"/>
          <w:szCs w:val="21"/>
        </w:rPr>
        <w:t>流动性风险</w:t>
      </w:r>
    </w:p>
    <w:p w:rsidR="009B4D42" w:rsidRDefault="009B4D42">
      <w:pPr>
        <w:widowControl/>
        <w:spacing w:line="400" w:lineRule="exact"/>
        <w:ind w:firstLineChars="200" w:firstLine="420"/>
        <w:rPr>
          <w:rFonts w:ascii="华文楷体" w:eastAsia="华文楷体" w:hAnsi="华文楷体" w:cs="宋体" w:hint="eastAsia"/>
          <w:b/>
          <w:kern w:val="0"/>
          <w:szCs w:val="21"/>
        </w:rPr>
      </w:pPr>
      <w:r>
        <w:rPr>
          <w:rFonts w:ascii="宋体" w:hAnsi="宋体" w:cs="宋体" w:hint="eastAsia"/>
          <w:kern w:val="0"/>
          <w:szCs w:val="21"/>
        </w:rPr>
        <w:t>投资者不得提前赎回理财资金，在本理财产品到期前，投资者不能使用本理财产品的资金，因此投资者将丧失投资其它更高收益的产品或资本市场产品的机会</w:t>
      </w:r>
      <w:r>
        <w:rPr>
          <w:rFonts w:ascii="宋体" w:hAnsi="宋体" w:cs="宋体"/>
          <w:kern w:val="0"/>
          <w:szCs w:val="21"/>
        </w:rPr>
        <w:t>。</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五、</w:t>
      </w:r>
      <w:r>
        <w:rPr>
          <w:rFonts w:ascii="宋体" w:hAnsi="宋体" w:cs="宋体"/>
          <w:b/>
          <w:kern w:val="0"/>
          <w:szCs w:val="21"/>
        </w:rPr>
        <w:t>管理风险</w:t>
      </w:r>
    </w:p>
    <w:p w:rsidR="009B4D42" w:rsidRDefault="009B4D42">
      <w:pPr>
        <w:widowControl/>
        <w:spacing w:line="400" w:lineRule="exact"/>
        <w:ind w:firstLineChars="200" w:firstLine="420"/>
        <w:rPr>
          <w:rFonts w:ascii="宋体" w:hAnsi="宋体" w:cs="宋体"/>
          <w:kern w:val="0"/>
          <w:szCs w:val="21"/>
        </w:rPr>
      </w:pPr>
      <w:r>
        <w:rPr>
          <w:rFonts w:ascii="宋体" w:hAnsi="宋体" w:cs="宋体" w:hint="eastAsia"/>
          <w:kern w:val="0"/>
          <w:szCs w:val="21"/>
        </w:rPr>
        <w:t>本理财</w:t>
      </w:r>
      <w:r>
        <w:rPr>
          <w:rFonts w:ascii="宋体" w:hAnsi="宋体" w:cs="宋体"/>
          <w:kern w:val="0"/>
          <w:szCs w:val="21"/>
        </w:rPr>
        <w:t>产品项下投资管理人的管理能力，会影响</w:t>
      </w:r>
      <w:r>
        <w:rPr>
          <w:rFonts w:ascii="宋体" w:hAnsi="宋体" w:cs="宋体" w:hint="eastAsia"/>
          <w:kern w:val="0"/>
          <w:szCs w:val="21"/>
        </w:rPr>
        <w:t>本理财</w:t>
      </w:r>
      <w:r>
        <w:rPr>
          <w:rFonts w:ascii="宋体" w:hAnsi="宋体" w:cs="宋体"/>
          <w:kern w:val="0"/>
          <w:szCs w:val="21"/>
        </w:rPr>
        <w:t>产品项下投资的回报率，可能导致</w:t>
      </w:r>
      <w:r>
        <w:rPr>
          <w:rFonts w:ascii="宋体" w:hAnsi="宋体" w:cs="宋体" w:hint="eastAsia"/>
          <w:kern w:val="0"/>
          <w:szCs w:val="21"/>
        </w:rPr>
        <w:t>本理财</w:t>
      </w:r>
      <w:r>
        <w:rPr>
          <w:rFonts w:ascii="宋体" w:hAnsi="宋体" w:cs="宋体"/>
          <w:kern w:val="0"/>
          <w:szCs w:val="21"/>
        </w:rPr>
        <w:t xml:space="preserve">产品项下的资金损失。 </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六、</w:t>
      </w:r>
      <w:r>
        <w:rPr>
          <w:rFonts w:ascii="宋体" w:hAnsi="宋体" w:cs="宋体"/>
          <w:b/>
          <w:kern w:val="0"/>
          <w:szCs w:val="21"/>
        </w:rPr>
        <w:t>理财</w:t>
      </w:r>
      <w:r>
        <w:rPr>
          <w:rFonts w:ascii="宋体" w:hAnsi="宋体" w:cs="宋体" w:hint="eastAsia"/>
          <w:b/>
          <w:kern w:val="0"/>
          <w:szCs w:val="21"/>
        </w:rPr>
        <w:t>产品</w:t>
      </w:r>
      <w:r>
        <w:rPr>
          <w:rFonts w:ascii="宋体" w:hAnsi="宋体" w:cs="宋体"/>
          <w:b/>
          <w:kern w:val="0"/>
          <w:szCs w:val="21"/>
        </w:rPr>
        <w:t>不成立风险</w:t>
      </w:r>
    </w:p>
    <w:p w:rsidR="009B4D42" w:rsidRDefault="009B4D42">
      <w:pPr>
        <w:widowControl/>
        <w:spacing w:line="400" w:lineRule="exact"/>
        <w:ind w:firstLineChars="200" w:firstLine="420"/>
        <w:rPr>
          <w:rFonts w:ascii="宋体" w:hAnsi="宋体" w:cs="宋体"/>
          <w:kern w:val="0"/>
          <w:szCs w:val="21"/>
        </w:rPr>
      </w:pPr>
      <w:r>
        <w:rPr>
          <w:rFonts w:ascii="宋体" w:hAnsi="宋体" w:cs="宋体"/>
          <w:kern w:val="0"/>
          <w:szCs w:val="21"/>
        </w:rPr>
        <w:t>如市场发生剧烈波动，经</w:t>
      </w:r>
      <w:r>
        <w:rPr>
          <w:rFonts w:ascii="宋体" w:hAnsi="宋体" w:cs="宋体" w:hint="eastAsia"/>
          <w:kern w:val="0"/>
          <w:szCs w:val="21"/>
        </w:rPr>
        <w:t>产品发行人</w:t>
      </w:r>
      <w:r>
        <w:rPr>
          <w:rFonts w:ascii="宋体" w:hAnsi="宋体" w:cs="宋体"/>
          <w:kern w:val="0"/>
          <w:szCs w:val="21"/>
        </w:rPr>
        <w:t>合理判断难以按照产品说明书规定向投资者提供产品，</w:t>
      </w:r>
      <w:r>
        <w:rPr>
          <w:rFonts w:ascii="宋体" w:hAnsi="宋体" w:cs="宋体" w:hint="eastAsia"/>
          <w:kern w:val="0"/>
          <w:szCs w:val="21"/>
        </w:rPr>
        <w:t>产品发行人</w:t>
      </w:r>
      <w:r>
        <w:rPr>
          <w:rFonts w:ascii="宋体" w:hAnsi="宋体" w:cs="宋体"/>
          <w:kern w:val="0"/>
          <w:szCs w:val="21"/>
        </w:rPr>
        <w:t xml:space="preserve">有权宣布产品不成立。 </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七、</w:t>
      </w:r>
      <w:r>
        <w:rPr>
          <w:rFonts w:ascii="宋体" w:hAnsi="宋体" w:cs="宋体"/>
          <w:b/>
          <w:kern w:val="0"/>
          <w:szCs w:val="21"/>
        </w:rPr>
        <w:t>理财</w:t>
      </w:r>
      <w:r>
        <w:rPr>
          <w:rFonts w:ascii="宋体" w:hAnsi="宋体" w:cs="宋体" w:hint="eastAsia"/>
          <w:b/>
          <w:kern w:val="0"/>
          <w:szCs w:val="21"/>
        </w:rPr>
        <w:t>产品</w:t>
      </w:r>
      <w:r>
        <w:rPr>
          <w:rFonts w:ascii="宋体" w:hAnsi="宋体" w:cs="宋体"/>
          <w:b/>
          <w:kern w:val="0"/>
          <w:szCs w:val="21"/>
        </w:rPr>
        <w:t>购买风险</w:t>
      </w:r>
    </w:p>
    <w:p w:rsidR="009B4D42" w:rsidRDefault="009B4D42">
      <w:pPr>
        <w:widowControl/>
        <w:spacing w:line="400" w:lineRule="exact"/>
        <w:ind w:firstLineChars="200" w:firstLine="420"/>
        <w:rPr>
          <w:rFonts w:ascii="宋体" w:hAnsi="宋体" w:cs="宋体"/>
          <w:kern w:val="0"/>
          <w:szCs w:val="21"/>
        </w:rPr>
      </w:pPr>
      <w:r>
        <w:rPr>
          <w:rFonts w:ascii="宋体" w:hAnsi="宋体" w:cs="宋体"/>
          <w:kern w:val="0"/>
          <w:szCs w:val="21"/>
        </w:rPr>
        <w:t>如出现市场剧烈波动、相关法规政策变化或其他可能影响产品正常运作的情况，</w:t>
      </w:r>
      <w:r>
        <w:rPr>
          <w:rFonts w:ascii="宋体" w:hAnsi="宋体" w:cs="宋体" w:hint="eastAsia"/>
          <w:kern w:val="0"/>
          <w:szCs w:val="21"/>
        </w:rPr>
        <w:t>产品发行人</w:t>
      </w:r>
      <w:r>
        <w:rPr>
          <w:rFonts w:ascii="宋体" w:hAnsi="宋体" w:cs="宋体"/>
          <w:kern w:val="0"/>
          <w:szCs w:val="21"/>
        </w:rPr>
        <w:t>有权控制</w:t>
      </w:r>
      <w:r>
        <w:rPr>
          <w:rFonts w:ascii="宋体" w:hAnsi="宋体" w:cs="宋体" w:hint="eastAsia"/>
          <w:kern w:val="0"/>
          <w:szCs w:val="21"/>
        </w:rPr>
        <w:t>发行规模</w:t>
      </w:r>
      <w:r>
        <w:rPr>
          <w:rFonts w:ascii="宋体" w:hAnsi="宋体" w:cs="宋体"/>
          <w:kern w:val="0"/>
          <w:szCs w:val="21"/>
        </w:rPr>
        <w:t>，投资者将无法</w:t>
      </w:r>
      <w:r>
        <w:rPr>
          <w:rFonts w:ascii="宋体" w:hAnsi="宋体" w:cs="宋体" w:hint="eastAsia"/>
          <w:kern w:val="0"/>
          <w:szCs w:val="21"/>
        </w:rPr>
        <w:t>在募集时间</w:t>
      </w:r>
      <w:r>
        <w:rPr>
          <w:rFonts w:ascii="宋体" w:hAnsi="宋体" w:cs="宋体"/>
          <w:kern w:val="0"/>
          <w:szCs w:val="21"/>
        </w:rPr>
        <w:t>内</w:t>
      </w:r>
      <w:r>
        <w:rPr>
          <w:rFonts w:ascii="宋体" w:hAnsi="宋体" w:cs="宋体" w:hint="eastAsia"/>
          <w:kern w:val="0"/>
          <w:szCs w:val="21"/>
        </w:rPr>
        <w:t>预购</w:t>
      </w:r>
      <w:r>
        <w:rPr>
          <w:rFonts w:ascii="宋体" w:hAnsi="宋体" w:cs="宋体"/>
          <w:kern w:val="0"/>
          <w:szCs w:val="21"/>
        </w:rPr>
        <w:t>产品</w:t>
      </w:r>
      <w:r>
        <w:rPr>
          <w:rFonts w:ascii="宋体" w:hAnsi="宋体" w:cs="宋体" w:hint="eastAsia"/>
          <w:kern w:val="0"/>
          <w:szCs w:val="21"/>
        </w:rPr>
        <w:t>；产品起始日，发行人按发行范围投资人理财产品预购先后顺序和发行规模上限</w:t>
      </w:r>
      <w:r>
        <w:rPr>
          <w:rFonts w:ascii="宋体" w:hAnsi="宋体" w:cs="宋体" w:hint="eastAsia"/>
          <w:kern w:val="0"/>
          <w:szCs w:val="21"/>
        </w:rPr>
        <w:lastRenderedPageBreak/>
        <w:t>确定投资人认购成功或失败</w:t>
      </w:r>
      <w:r>
        <w:rPr>
          <w:rFonts w:ascii="宋体" w:hAnsi="宋体" w:cs="宋体"/>
          <w:kern w:val="0"/>
          <w:szCs w:val="21"/>
        </w:rPr>
        <w:t>，</w:t>
      </w:r>
      <w:r>
        <w:rPr>
          <w:rFonts w:ascii="宋体" w:hAnsi="宋体" w:cs="宋体" w:hint="eastAsia"/>
          <w:kern w:val="0"/>
          <w:szCs w:val="21"/>
        </w:rPr>
        <w:t>上述原因</w:t>
      </w:r>
      <w:r>
        <w:rPr>
          <w:rFonts w:ascii="宋体" w:hAnsi="宋体" w:cs="宋体"/>
          <w:kern w:val="0"/>
          <w:szCs w:val="21"/>
        </w:rPr>
        <w:t>造成的任何损失，由投资者自行承担，</w:t>
      </w:r>
      <w:r>
        <w:rPr>
          <w:rFonts w:ascii="宋体" w:hAnsi="宋体" w:cs="宋体" w:hint="eastAsia"/>
          <w:kern w:val="0"/>
          <w:szCs w:val="21"/>
        </w:rPr>
        <w:t>产品发行人、代理销售人</w:t>
      </w:r>
      <w:r>
        <w:rPr>
          <w:rFonts w:ascii="宋体" w:hAnsi="宋体" w:cs="宋体"/>
          <w:kern w:val="0"/>
          <w:szCs w:val="21"/>
        </w:rPr>
        <w:t xml:space="preserve">对此不承担任何责任。 </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八、</w:t>
      </w:r>
      <w:r>
        <w:rPr>
          <w:rFonts w:ascii="宋体" w:hAnsi="宋体" w:cs="宋体"/>
          <w:b/>
          <w:kern w:val="0"/>
          <w:szCs w:val="21"/>
        </w:rPr>
        <w:t>提前终止风险</w:t>
      </w:r>
    </w:p>
    <w:p w:rsidR="009B4D42" w:rsidRDefault="009B4D42">
      <w:pPr>
        <w:widowControl/>
        <w:spacing w:line="400" w:lineRule="exact"/>
        <w:ind w:firstLineChars="200" w:firstLine="420"/>
        <w:rPr>
          <w:rFonts w:ascii="宋体" w:hAnsi="宋体" w:cs="宋体"/>
          <w:kern w:val="0"/>
          <w:szCs w:val="21"/>
        </w:rPr>
      </w:pPr>
      <w:r>
        <w:rPr>
          <w:rFonts w:ascii="宋体" w:hAnsi="宋体" w:cs="宋体" w:hint="eastAsia"/>
          <w:kern w:val="0"/>
          <w:szCs w:val="21"/>
        </w:rPr>
        <w:t>本理财</w:t>
      </w:r>
      <w:r>
        <w:rPr>
          <w:rFonts w:ascii="宋体" w:hAnsi="宋体" w:cs="宋体"/>
          <w:kern w:val="0"/>
          <w:szCs w:val="21"/>
        </w:rPr>
        <w:t>产品在存续期内，</w:t>
      </w:r>
      <w:r>
        <w:rPr>
          <w:rFonts w:ascii="宋体" w:hAnsi="宋体" w:cs="宋体" w:hint="eastAsia"/>
          <w:kern w:val="0"/>
          <w:szCs w:val="21"/>
        </w:rPr>
        <w:t>如遇国家金融政策或法律政策等出现重大调整或市场出现重大调整或市场出现重大波动以及不可抗力，影响本理财产品正常运作或者出现其它必须提前终止情形的，产品发行人</w:t>
      </w:r>
      <w:r>
        <w:rPr>
          <w:rFonts w:ascii="宋体" w:hAnsi="宋体" w:cs="宋体"/>
          <w:kern w:val="0"/>
          <w:szCs w:val="21"/>
        </w:rPr>
        <w:t>有权提前终止理财，</w:t>
      </w:r>
      <w:r>
        <w:rPr>
          <w:rFonts w:ascii="宋体" w:hAnsi="宋体" w:cs="宋体" w:hint="eastAsia"/>
          <w:kern w:val="0"/>
          <w:szCs w:val="21"/>
        </w:rPr>
        <w:t>本理财产品</w:t>
      </w:r>
      <w:r>
        <w:rPr>
          <w:rFonts w:ascii="宋体" w:hAnsi="宋体" w:cs="宋体"/>
          <w:kern w:val="0"/>
          <w:szCs w:val="21"/>
        </w:rPr>
        <w:t>一旦被提前终止，则</w:t>
      </w:r>
      <w:r>
        <w:rPr>
          <w:rFonts w:ascii="宋体" w:hAnsi="宋体" w:cs="宋体" w:hint="eastAsia"/>
          <w:kern w:val="0"/>
          <w:szCs w:val="21"/>
        </w:rPr>
        <w:t>理财</w:t>
      </w:r>
      <w:r>
        <w:rPr>
          <w:rFonts w:ascii="宋体" w:hAnsi="宋体" w:cs="宋体"/>
          <w:kern w:val="0"/>
          <w:szCs w:val="21"/>
        </w:rPr>
        <w:t xml:space="preserve">产品的实际理财期可能小于预定期限，投资者将无法实现期初预期的全部收益。 </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九、</w:t>
      </w:r>
      <w:r>
        <w:rPr>
          <w:rFonts w:ascii="宋体" w:hAnsi="宋体" w:cs="宋体"/>
          <w:b/>
          <w:kern w:val="0"/>
          <w:szCs w:val="21"/>
        </w:rPr>
        <w:t>延期风险</w:t>
      </w:r>
    </w:p>
    <w:p w:rsidR="009B4D42" w:rsidRDefault="009B4D42">
      <w:pPr>
        <w:widowControl/>
        <w:spacing w:line="400" w:lineRule="exact"/>
        <w:ind w:firstLineChars="200" w:firstLine="420"/>
        <w:rPr>
          <w:rFonts w:ascii="宋体" w:hAnsi="宋体" w:cs="宋体" w:hint="eastAsia"/>
          <w:kern w:val="0"/>
          <w:szCs w:val="21"/>
        </w:rPr>
      </w:pPr>
      <w:r>
        <w:rPr>
          <w:rFonts w:ascii="宋体" w:hAnsi="宋体" w:cs="宋体"/>
          <w:kern w:val="0"/>
          <w:szCs w:val="21"/>
        </w:rPr>
        <w:t>如因产品投资期对应的理财资产</w:t>
      </w:r>
      <w:r>
        <w:rPr>
          <w:rFonts w:ascii="宋体" w:hAnsi="宋体" w:cs="宋体" w:hint="eastAsia"/>
          <w:kern w:val="0"/>
          <w:szCs w:val="21"/>
        </w:rPr>
        <w:t>未能及时</w:t>
      </w:r>
      <w:r>
        <w:rPr>
          <w:rFonts w:ascii="宋体" w:hAnsi="宋体" w:cs="宋体"/>
          <w:kern w:val="0"/>
          <w:szCs w:val="21"/>
        </w:rPr>
        <w:t>变现等原因造成不能按时</w:t>
      </w:r>
      <w:r>
        <w:rPr>
          <w:rFonts w:ascii="宋体" w:hAnsi="宋体" w:cs="宋体" w:hint="eastAsia"/>
          <w:kern w:val="0"/>
          <w:szCs w:val="21"/>
        </w:rPr>
        <w:t>兑付本金及收益</w:t>
      </w:r>
      <w:r>
        <w:rPr>
          <w:rFonts w:ascii="宋体" w:hAnsi="宋体" w:cs="宋体"/>
          <w:kern w:val="0"/>
          <w:szCs w:val="21"/>
        </w:rPr>
        <w:t>，则</w:t>
      </w:r>
      <w:r>
        <w:rPr>
          <w:rFonts w:ascii="宋体" w:hAnsi="宋体" w:cs="宋体" w:hint="eastAsia"/>
          <w:kern w:val="0"/>
          <w:szCs w:val="21"/>
        </w:rPr>
        <w:t>产品</w:t>
      </w:r>
      <w:r>
        <w:rPr>
          <w:rFonts w:ascii="宋体" w:hAnsi="宋体" w:cs="宋体"/>
          <w:kern w:val="0"/>
          <w:szCs w:val="21"/>
        </w:rPr>
        <w:t xml:space="preserve">期限将相应延长。 </w:t>
      </w:r>
      <w:r>
        <w:rPr>
          <w:rFonts w:ascii="宋体" w:hAnsi="宋体" w:cs="宋体" w:hint="eastAsia"/>
          <w:kern w:val="0"/>
          <w:szCs w:val="21"/>
        </w:rPr>
        <w:t>由于资金在划转过程中产生延误而导致不能按时偿还本金及收益，由此产生的风险由投资者自行承担。</w:t>
      </w:r>
    </w:p>
    <w:p w:rsidR="009B4D42" w:rsidRDefault="009B4D42">
      <w:pPr>
        <w:widowControl/>
        <w:spacing w:line="400" w:lineRule="exact"/>
        <w:ind w:firstLineChars="200" w:firstLine="422"/>
        <w:rPr>
          <w:rFonts w:ascii="宋体" w:hAnsi="宋体" w:cs="宋体" w:hint="eastAsia"/>
          <w:b/>
          <w:kern w:val="0"/>
          <w:szCs w:val="21"/>
        </w:rPr>
      </w:pPr>
      <w:r>
        <w:rPr>
          <w:rFonts w:ascii="宋体" w:hAnsi="宋体" w:cs="宋体" w:hint="eastAsia"/>
          <w:b/>
          <w:kern w:val="0"/>
          <w:szCs w:val="21"/>
        </w:rPr>
        <w:t>十、</w:t>
      </w:r>
      <w:r>
        <w:rPr>
          <w:rFonts w:ascii="宋体" w:hAnsi="宋体" w:cs="宋体"/>
          <w:b/>
          <w:kern w:val="0"/>
          <w:szCs w:val="21"/>
        </w:rPr>
        <w:t>信息传递风险</w:t>
      </w:r>
    </w:p>
    <w:p w:rsidR="009B4D42" w:rsidRDefault="009B4D42">
      <w:pPr>
        <w:widowControl/>
        <w:spacing w:line="400" w:lineRule="exact"/>
        <w:ind w:firstLineChars="200" w:firstLine="420"/>
        <w:rPr>
          <w:rFonts w:ascii="宋体" w:hAnsi="宋体" w:cs="宋体"/>
          <w:kern w:val="0"/>
          <w:szCs w:val="21"/>
        </w:rPr>
      </w:pPr>
      <w:r>
        <w:rPr>
          <w:rFonts w:ascii="宋体" w:hAnsi="宋体" w:cs="宋体"/>
          <w:kern w:val="0"/>
          <w:szCs w:val="21"/>
        </w:rPr>
        <w:t>如果投资者未及时查询以及其他不可抗力等因素的影响使得投资者无法及时了解产品信息，并由此影响投资者的投资决策，因此而产生的责任和风险由投资者自行承担。另外，投资者预留在</w:t>
      </w:r>
      <w:r>
        <w:rPr>
          <w:rFonts w:ascii="宋体" w:hAnsi="宋体" w:cs="宋体" w:hint="eastAsia"/>
          <w:kern w:val="0"/>
          <w:szCs w:val="21"/>
        </w:rPr>
        <w:t>产品销售行</w:t>
      </w:r>
      <w:r>
        <w:rPr>
          <w:rFonts w:ascii="宋体" w:hAnsi="宋体" w:cs="宋体"/>
          <w:kern w:val="0"/>
          <w:szCs w:val="21"/>
        </w:rPr>
        <w:t>的有效联系方式变更的，应及时通知</w:t>
      </w:r>
      <w:r>
        <w:rPr>
          <w:rFonts w:ascii="宋体" w:hAnsi="宋体" w:cs="宋体" w:hint="eastAsia"/>
          <w:kern w:val="0"/>
          <w:szCs w:val="21"/>
        </w:rPr>
        <w:t>产品销售行</w:t>
      </w:r>
      <w:r>
        <w:rPr>
          <w:rFonts w:ascii="宋体" w:hAnsi="宋体" w:cs="宋体"/>
          <w:kern w:val="0"/>
          <w:szCs w:val="21"/>
        </w:rPr>
        <w:t>。如因投资者未及时告知联系方式变更，</w:t>
      </w:r>
      <w:r>
        <w:rPr>
          <w:rFonts w:ascii="宋体" w:hAnsi="宋体" w:cs="宋体" w:hint="eastAsia"/>
          <w:kern w:val="0"/>
          <w:szCs w:val="21"/>
        </w:rPr>
        <w:t>产品销售行</w:t>
      </w:r>
      <w:r>
        <w:rPr>
          <w:rFonts w:ascii="宋体" w:hAnsi="宋体" w:cs="宋体"/>
          <w:kern w:val="0"/>
          <w:szCs w:val="21"/>
        </w:rPr>
        <w:t xml:space="preserve">将可能在需要联系投资者时无法及时联系上，并可能会由此影响投资者的投资决策，由此而产生的责任和风险由投资者自行承担。 </w:t>
      </w:r>
    </w:p>
    <w:p w:rsidR="009B4D42" w:rsidRDefault="009B4D42">
      <w:pPr>
        <w:spacing w:line="400" w:lineRule="exact"/>
        <w:ind w:firstLineChars="200" w:firstLine="422"/>
        <w:rPr>
          <w:rFonts w:ascii="宋体" w:hAnsi="宋体" w:cs="宋体" w:hint="eastAsia"/>
          <w:kern w:val="0"/>
          <w:szCs w:val="21"/>
        </w:rPr>
      </w:pPr>
      <w:r>
        <w:rPr>
          <w:rFonts w:ascii="宋体" w:hAnsi="宋体" w:cs="宋体" w:hint="eastAsia"/>
          <w:b/>
          <w:kern w:val="0"/>
          <w:szCs w:val="21"/>
        </w:rPr>
        <w:t>十一、</w:t>
      </w:r>
      <w:r>
        <w:rPr>
          <w:rFonts w:ascii="宋体" w:hAnsi="宋体" w:cs="宋体"/>
          <w:b/>
          <w:kern w:val="0"/>
          <w:szCs w:val="21"/>
        </w:rPr>
        <w:t>不可抗力</w:t>
      </w:r>
      <w:r>
        <w:rPr>
          <w:rFonts w:ascii="宋体" w:hAnsi="宋体" w:cs="宋体" w:hint="eastAsia"/>
          <w:b/>
          <w:kern w:val="0"/>
          <w:szCs w:val="21"/>
        </w:rPr>
        <w:t>及意外事件</w:t>
      </w:r>
      <w:r>
        <w:rPr>
          <w:rFonts w:ascii="宋体" w:hAnsi="宋体" w:cs="宋体"/>
          <w:b/>
          <w:kern w:val="0"/>
          <w:szCs w:val="21"/>
        </w:rPr>
        <w:t>风险：</w:t>
      </w:r>
      <w:r>
        <w:rPr>
          <w:rFonts w:ascii="宋体" w:hAnsi="宋体" w:cs="宋体"/>
          <w:kern w:val="0"/>
          <w:szCs w:val="21"/>
        </w:rPr>
        <w:t>由于自然灾害、战争</w:t>
      </w:r>
      <w:r>
        <w:rPr>
          <w:rFonts w:ascii="宋体" w:hAnsi="宋体" w:cs="宋体" w:hint="eastAsia"/>
          <w:kern w:val="0"/>
          <w:szCs w:val="21"/>
        </w:rPr>
        <w:t>等不可抗力的出现，</w:t>
      </w:r>
      <w:r>
        <w:rPr>
          <w:rFonts w:ascii="宋体" w:hAnsi="宋体" w:cs="宋体"/>
          <w:kern w:val="0"/>
          <w:szCs w:val="21"/>
        </w:rPr>
        <w:t>将严重影响金融市场的正常运行</w:t>
      </w:r>
      <w:r>
        <w:rPr>
          <w:rFonts w:ascii="宋体" w:hAnsi="宋体" w:cs="宋体" w:hint="eastAsia"/>
          <w:kern w:val="0"/>
          <w:szCs w:val="21"/>
        </w:rPr>
        <w:t>；或者产品发行人、代理销售人无过错且无法防止的外因影响产品的交易中断、延误等风险及损失</w:t>
      </w:r>
      <w:r>
        <w:rPr>
          <w:rFonts w:ascii="宋体" w:hAnsi="宋体" w:cs="宋体"/>
          <w:kern w:val="0"/>
          <w:szCs w:val="21"/>
        </w:rPr>
        <w:t>，从而导致理财资产收益降低或损失，甚至影响</w:t>
      </w:r>
      <w:r>
        <w:rPr>
          <w:rFonts w:ascii="宋体" w:hAnsi="宋体" w:cs="宋体" w:hint="eastAsia"/>
          <w:kern w:val="0"/>
          <w:szCs w:val="21"/>
        </w:rPr>
        <w:t>本理财</w:t>
      </w:r>
      <w:r>
        <w:rPr>
          <w:rFonts w:ascii="宋体" w:hAnsi="宋体" w:cs="宋体"/>
          <w:kern w:val="0"/>
          <w:szCs w:val="21"/>
        </w:rPr>
        <w:t>产品的受理、投资、偿还等的正常进行，从而导致本理财产品收益降低。</w:t>
      </w:r>
    </w:p>
    <w:p w:rsidR="009B4D42" w:rsidRDefault="009B4D42">
      <w:pPr>
        <w:pStyle w:val="a6"/>
        <w:spacing w:line="380" w:lineRule="exact"/>
        <w:ind w:firstLineChars="0"/>
        <w:rPr>
          <w:rFonts w:ascii="宋体" w:hAnsi="宋体"/>
          <w:bCs/>
          <w:szCs w:val="21"/>
        </w:rPr>
      </w:pPr>
      <w:r>
        <w:rPr>
          <w:rFonts w:ascii="宋体" w:hAnsi="宋体" w:hint="eastAsia"/>
          <w:bCs/>
          <w:szCs w:val="21"/>
        </w:rPr>
        <w:t>最不利投资情形下的投资结果示例：若理财产品运作期间，该理财产品投资标的出现各类风险，则客户可能无法获得约定的参考年化净收益率，</w:t>
      </w:r>
      <w:r>
        <w:rPr>
          <w:rFonts w:ascii="宋体" w:hAnsi="宋体" w:cs="宋体" w:hint="eastAsia"/>
          <w:kern w:val="0"/>
          <w:szCs w:val="21"/>
        </w:rPr>
        <w:t>非保本浮动收益型理财产品</w:t>
      </w:r>
      <w:r>
        <w:rPr>
          <w:rFonts w:ascii="宋体" w:hAnsi="宋体" w:hint="eastAsia"/>
          <w:bCs/>
          <w:szCs w:val="21"/>
        </w:rPr>
        <w:t>可能会导致客户的投资本金遭受损失，在最不利的极端情况下，客户甚至损失全部本金。</w:t>
      </w:r>
    </w:p>
    <w:p w:rsidR="009B4D42" w:rsidRDefault="009B4D42">
      <w:pPr>
        <w:spacing w:line="400" w:lineRule="exact"/>
        <w:ind w:firstLineChars="200" w:firstLine="404"/>
        <w:rPr>
          <w:rFonts w:hint="eastAsia"/>
          <w:b/>
          <w:spacing w:val="-4"/>
          <w:szCs w:val="21"/>
        </w:rPr>
      </w:pPr>
      <w:r>
        <w:rPr>
          <w:rFonts w:ascii="宋体" w:hAnsi="宋体" w:cs="宋体" w:hint="eastAsia"/>
          <w:spacing w:val="-4"/>
          <w:kern w:val="0"/>
          <w:szCs w:val="21"/>
        </w:rPr>
        <w:t>风险揭示书一式两份与投资人签署的《理财产品销售协议书》、《产品说明书》等附件一并加盖骑缝章。</w:t>
      </w:r>
    </w:p>
    <w:p w:rsidR="009B4D42" w:rsidRDefault="009B4D42">
      <w:pPr>
        <w:spacing w:line="400" w:lineRule="exact"/>
        <w:ind w:firstLineChars="200" w:firstLine="422"/>
        <w:rPr>
          <w:rFonts w:ascii="宋体" w:hAnsi="宋体" w:cs="宋体" w:hint="eastAsia"/>
          <w:kern w:val="0"/>
          <w:szCs w:val="21"/>
          <w:u w:val="single"/>
        </w:rPr>
      </w:pPr>
      <w:r>
        <w:rPr>
          <w:rFonts w:hint="eastAsia"/>
          <w:b/>
          <w:szCs w:val="21"/>
        </w:rPr>
        <w:t>投资人风险承受能力评级结果为</w:t>
      </w:r>
      <w:r>
        <w:rPr>
          <w:rFonts w:ascii="宋体" w:hAnsi="宋体" w:cs="宋体" w:hint="eastAsia"/>
          <w:kern w:val="0"/>
          <w:szCs w:val="21"/>
          <w:u w:val="single"/>
        </w:rPr>
        <w:t xml:space="preserve">              </w:t>
      </w:r>
      <w:r>
        <w:rPr>
          <w:rFonts w:ascii="宋体" w:hAnsi="宋体" w:cs="宋体" w:hint="eastAsia"/>
          <w:kern w:val="0"/>
          <w:szCs w:val="21"/>
        </w:rPr>
        <w:t>。（投资人填写，应与《个人/机构理财客户风险评估问卷》客户风险等级评估结果一致）</w:t>
      </w:r>
    </w:p>
    <w:p w:rsidR="009B4D42" w:rsidRDefault="009B4D42">
      <w:pPr>
        <w:spacing w:line="400" w:lineRule="exact"/>
        <w:ind w:firstLineChars="200" w:firstLine="422"/>
        <w:rPr>
          <w:rFonts w:hint="eastAsia"/>
          <w:szCs w:val="21"/>
        </w:rPr>
      </w:pPr>
      <w:r>
        <w:rPr>
          <w:rFonts w:hint="eastAsia"/>
          <w:b/>
          <w:szCs w:val="21"/>
        </w:rPr>
        <w:t>投资人抄写以下文字并确认：“本人（单位）已经阅读本理财产品《风险揭示书》、《产品说明书》、《理财产品销售协议书》，愿意承担任何风险”。</w:t>
      </w:r>
    </w:p>
    <w:p w:rsidR="009B4D42" w:rsidRDefault="009B4D42">
      <w:pPr>
        <w:spacing w:line="700" w:lineRule="exact"/>
        <w:ind w:firstLineChars="200" w:firstLine="422"/>
        <w:rPr>
          <w:rFonts w:ascii="宋体" w:hAnsi="宋体" w:hint="eastAsia"/>
          <w:szCs w:val="21"/>
        </w:rPr>
      </w:pPr>
      <w:r>
        <w:rPr>
          <w:rFonts w:hint="eastAsia"/>
          <w:b/>
          <w:szCs w:val="21"/>
        </w:rPr>
        <w:t>投资人抄录：</w:t>
      </w:r>
      <w:r>
        <w:rPr>
          <w:rFonts w:hint="eastAsia"/>
          <w:szCs w:val="21"/>
          <w:u w:val="single"/>
        </w:rPr>
        <w:t xml:space="preserve">                                                                         </w:t>
      </w:r>
    </w:p>
    <w:p w:rsidR="009B4D42" w:rsidRDefault="009B4D42">
      <w:pPr>
        <w:spacing w:line="700" w:lineRule="exact"/>
        <w:rPr>
          <w:rFonts w:ascii="宋体" w:hAnsi="宋体" w:hint="eastAsia"/>
          <w:szCs w:val="21"/>
        </w:rPr>
      </w:pPr>
      <w:r>
        <w:rPr>
          <w:rFonts w:ascii="宋体" w:hAnsi="宋体" w:hint="eastAsia"/>
          <w:szCs w:val="21"/>
          <w:u w:val="single"/>
        </w:rPr>
        <w:t xml:space="preserve">                                                                                         </w:t>
      </w:r>
      <w:r>
        <w:rPr>
          <w:rFonts w:ascii="宋体" w:hAnsi="宋体" w:hint="eastAsia"/>
          <w:szCs w:val="21"/>
        </w:rPr>
        <w:t>。</w:t>
      </w:r>
    </w:p>
    <w:p w:rsidR="009B4D42" w:rsidRDefault="009B4D42">
      <w:pPr>
        <w:widowControl/>
        <w:snapToGrid w:val="0"/>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投资人（签字或盖章）：</w:t>
      </w:r>
      <w:r>
        <w:rPr>
          <w:rFonts w:ascii="宋体" w:hAnsi="宋体" w:cs="宋体"/>
          <w:kern w:val="0"/>
          <w:szCs w:val="21"/>
        </w:rPr>
        <w:t xml:space="preserve">          </w:t>
      </w:r>
      <w:r>
        <w:rPr>
          <w:rFonts w:ascii="宋体" w:hAnsi="宋体" w:cs="宋体" w:hint="eastAsia"/>
          <w:kern w:val="0"/>
          <w:szCs w:val="21"/>
        </w:rPr>
        <w:t xml:space="preserve">                 销售网点（业务公章）：</w:t>
      </w:r>
    </w:p>
    <w:p w:rsidR="009B4D42" w:rsidRDefault="009B4D42">
      <w:pPr>
        <w:widowControl/>
        <w:snapToGrid w:val="0"/>
        <w:spacing w:line="400" w:lineRule="exact"/>
        <w:ind w:firstLineChars="150" w:firstLine="315"/>
        <w:jc w:val="left"/>
        <w:rPr>
          <w:rFonts w:ascii="宋体" w:hAnsi="宋体" w:cs="宋体" w:hint="eastAsia"/>
          <w:kern w:val="0"/>
          <w:szCs w:val="21"/>
        </w:rPr>
      </w:pPr>
      <w:r>
        <w:rPr>
          <w:rFonts w:ascii="宋体" w:hAnsi="宋体" w:cs="宋体" w:hint="eastAsia"/>
          <w:kern w:val="0"/>
          <w:szCs w:val="21"/>
        </w:rPr>
        <w:t>（机构投资人盖章应与预留</w:t>
      </w:r>
    </w:p>
    <w:p w:rsidR="009B4D42" w:rsidRDefault="009B4D42">
      <w:pPr>
        <w:widowControl/>
        <w:snapToGrid w:val="0"/>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销售网点印鉴章保持一致）</w:t>
      </w:r>
    </w:p>
    <w:p w:rsidR="009B4D42" w:rsidRDefault="009B4D42">
      <w:pPr>
        <w:spacing w:line="400" w:lineRule="exact"/>
        <w:ind w:firstLineChars="300" w:firstLine="630"/>
        <w:rPr>
          <w:rFonts w:ascii="宋体" w:hAnsi="宋体" w:cs="宋体" w:hint="eastAsia"/>
          <w:kern w:val="0"/>
          <w:szCs w:val="21"/>
        </w:rPr>
      </w:pPr>
    </w:p>
    <w:p w:rsidR="009B4D42" w:rsidRDefault="009B4D42">
      <w:pPr>
        <w:spacing w:line="400" w:lineRule="exact"/>
        <w:ind w:firstLineChars="300" w:firstLine="630"/>
        <w:rPr>
          <w:rFonts w:ascii="宋体" w:hAns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sectPr w:rsidR="009B4D4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42" w:rsidRDefault="009B4D42">
      <w:r>
        <w:separator/>
      </w:r>
    </w:p>
  </w:endnote>
  <w:endnote w:type="continuationSeparator" w:id="0">
    <w:p w:rsidR="009B4D42" w:rsidRDefault="009B4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E7" w:rsidRDefault="00BE54E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42" w:rsidRDefault="009B4D42">
    <w:pPr>
      <w:pStyle w:val="a3"/>
      <w:jc w:val="center"/>
    </w:pPr>
    <w:fldSimple w:instr=" PAGE   \* MERGEFORMAT ">
      <w:r w:rsidR="007F085E" w:rsidRPr="007F085E">
        <w:rPr>
          <w:noProof/>
          <w:lang w:val="zh-CN" w:eastAsia="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E7" w:rsidRDefault="00BE54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42" w:rsidRDefault="009B4D42">
      <w:r>
        <w:separator/>
      </w:r>
    </w:p>
  </w:footnote>
  <w:footnote w:type="continuationSeparator" w:id="0">
    <w:p w:rsidR="009B4D42" w:rsidRDefault="009B4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E7" w:rsidRDefault="00BE54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42" w:rsidRDefault="009B4D42" w:rsidP="00BE54E7">
    <w:pPr>
      <w:pStyle w:val="a4"/>
      <w:pBdr>
        <w:bottom w:val="none" w:sz="0" w:space="0" w:color="auto"/>
      </w:pBdr>
      <w:jc w:val="both"/>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E7" w:rsidRDefault="00BE54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2DFC"/>
    <w:rsid w:val="0000237E"/>
    <w:rsid w:val="00006A10"/>
    <w:rsid w:val="0002333B"/>
    <w:rsid w:val="0003100E"/>
    <w:rsid w:val="00041A8A"/>
    <w:rsid w:val="0004552A"/>
    <w:rsid w:val="00063BCC"/>
    <w:rsid w:val="000800E4"/>
    <w:rsid w:val="00081340"/>
    <w:rsid w:val="0009110D"/>
    <w:rsid w:val="00091B3E"/>
    <w:rsid w:val="000A0E91"/>
    <w:rsid w:val="000A3467"/>
    <w:rsid w:val="000B52CB"/>
    <w:rsid w:val="000D29C3"/>
    <w:rsid w:val="000D389D"/>
    <w:rsid w:val="000D607A"/>
    <w:rsid w:val="000F4DBA"/>
    <w:rsid w:val="00104876"/>
    <w:rsid w:val="00111205"/>
    <w:rsid w:val="001169A1"/>
    <w:rsid w:val="001174A2"/>
    <w:rsid w:val="001253CE"/>
    <w:rsid w:val="0013037E"/>
    <w:rsid w:val="00136BAE"/>
    <w:rsid w:val="001415F2"/>
    <w:rsid w:val="00141E84"/>
    <w:rsid w:val="001421F4"/>
    <w:rsid w:val="00147D09"/>
    <w:rsid w:val="001601D4"/>
    <w:rsid w:val="00170D38"/>
    <w:rsid w:val="00173B36"/>
    <w:rsid w:val="00173C1D"/>
    <w:rsid w:val="001845C2"/>
    <w:rsid w:val="00184B5B"/>
    <w:rsid w:val="001A090D"/>
    <w:rsid w:val="001A2A00"/>
    <w:rsid w:val="001A426B"/>
    <w:rsid w:val="001B2B2F"/>
    <w:rsid w:val="001B7009"/>
    <w:rsid w:val="001C6BD6"/>
    <w:rsid w:val="001D1AC7"/>
    <w:rsid w:val="001E6FC5"/>
    <w:rsid w:val="00213772"/>
    <w:rsid w:val="002232CE"/>
    <w:rsid w:val="00245B95"/>
    <w:rsid w:val="00261DA8"/>
    <w:rsid w:val="00275C92"/>
    <w:rsid w:val="0028246F"/>
    <w:rsid w:val="002B7155"/>
    <w:rsid w:val="002E1CD0"/>
    <w:rsid w:val="002E5483"/>
    <w:rsid w:val="003004F6"/>
    <w:rsid w:val="00326CD5"/>
    <w:rsid w:val="00354428"/>
    <w:rsid w:val="00361BB1"/>
    <w:rsid w:val="00367EC9"/>
    <w:rsid w:val="0037003A"/>
    <w:rsid w:val="0037122A"/>
    <w:rsid w:val="00371261"/>
    <w:rsid w:val="00380D9E"/>
    <w:rsid w:val="00393558"/>
    <w:rsid w:val="003A3E51"/>
    <w:rsid w:val="003D299C"/>
    <w:rsid w:val="003D776C"/>
    <w:rsid w:val="003F0E9E"/>
    <w:rsid w:val="00402CC7"/>
    <w:rsid w:val="00413FD5"/>
    <w:rsid w:val="004552A6"/>
    <w:rsid w:val="00462213"/>
    <w:rsid w:val="00463FBD"/>
    <w:rsid w:val="00464832"/>
    <w:rsid w:val="00472D8B"/>
    <w:rsid w:val="0048580C"/>
    <w:rsid w:val="004A23E2"/>
    <w:rsid w:val="004D5AC1"/>
    <w:rsid w:val="004E607D"/>
    <w:rsid w:val="004F087A"/>
    <w:rsid w:val="004F275A"/>
    <w:rsid w:val="004F33AC"/>
    <w:rsid w:val="00502EBF"/>
    <w:rsid w:val="00566BA5"/>
    <w:rsid w:val="00572DFC"/>
    <w:rsid w:val="0059369A"/>
    <w:rsid w:val="0059603E"/>
    <w:rsid w:val="00596C06"/>
    <w:rsid w:val="00597176"/>
    <w:rsid w:val="005B2B89"/>
    <w:rsid w:val="005B487D"/>
    <w:rsid w:val="005B6743"/>
    <w:rsid w:val="005D0074"/>
    <w:rsid w:val="00630937"/>
    <w:rsid w:val="00663A32"/>
    <w:rsid w:val="006B0A32"/>
    <w:rsid w:val="006C5008"/>
    <w:rsid w:val="006E3F88"/>
    <w:rsid w:val="006F0873"/>
    <w:rsid w:val="006F2E27"/>
    <w:rsid w:val="00702CCD"/>
    <w:rsid w:val="00707199"/>
    <w:rsid w:val="007100A8"/>
    <w:rsid w:val="0071541D"/>
    <w:rsid w:val="00721B05"/>
    <w:rsid w:val="00726EF8"/>
    <w:rsid w:val="007279A1"/>
    <w:rsid w:val="00735094"/>
    <w:rsid w:val="00751564"/>
    <w:rsid w:val="0075554F"/>
    <w:rsid w:val="00774256"/>
    <w:rsid w:val="007A06D3"/>
    <w:rsid w:val="007C442E"/>
    <w:rsid w:val="007D40F1"/>
    <w:rsid w:val="007D5EEF"/>
    <w:rsid w:val="007E41D2"/>
    <w:rsid w:val="007F085E"/>
    <w:rsid w:val="007F1189"/>
    <w:rsid w:val="00810BC4"/>
    <w:rsid w:val="008310FC"/>
    <w:rsid w:val="008474E8"/>
    <w:rsid w:val="00853216"/>
    <w:rsid w:val="00860E8D"/>
    <w:rsid w:val="008637E7"/>
    <w:rsid w:val="00865709"/>
    <w:rsid w:val="00880ECA"/>
    <w:rsid w:val="00885C81"/>
    <w:rsid w:val="008A4F2C"/>
    <w:rsid w:val="008C3F27"/>
    <w:rsid w:val="008C650F"/>
    <w:rsid w:val="008E5BA2"/>
    <w:rsid w:val="009056CE"/>
    <w:rsid w:val="00911CFF"/>
    <w:rsid w:val="00912548"/>
    <w:rsid w:val="0091436B"/>
    <w:rsid w:val="00925CC8"/>
    <w:rsid w:val="0093247F"/>
    <w:rsid w:val="009357E6"/>
    <w:rsid w:val="00947C1A"/>
    <w:rsid w:val="00966273"/>
    <w:rsid w:val="009713D5"/>
    <w:rsid w:val="009746D0"/>
    <w:rsid w:val="00977A9F"/>
    <w:rsid w:val="009829F9"/>
    <w:rsid w:val="00985F28"/>
    <w:rsid w:val="009927A9"/>
    <w:rsid w:val="009939FA"/>
    <w:rsid w:val="009B0B26"/>
    <w:rsid w:val="009B3007"/>
    <w:rsid w:val="009B3F2E"/>
    <w:rsid w:val="009B4D42"/>
    <w:rsid w:val="009B6FE9"/>
    <w:rsid w:val="009B7818"/>
    <w:rsid w:val="009C5F66"/>
    <w:rsid w:val="009D0B17"/>
    <w:rsid w:val="009E3AE4"/>
    <w:rsid w:val="009F302E"/>
    <w:rsid w:val="00A3612D"/>
    <w:rsid w:val="00A41829"/>
    <w:rsid w:val="00A74D17"/>
    <w:rsid w:val="00A81ADB"/>
    <w:rsid w:val="00A82525"/>
    <w:rsid w:val="00AC305D"/>
    <w:rsid w:val="00AE0555"/>
    <w:rsid w:val="00AF05D2"/>
    <w:rsid w:val="00AF16AC"/>
    <w:rsid w:val="00AF4775"/>
    <w:rsid w:val="00B20B6F"/>
    <w:rsid w:val="00B267C4"/>
    <w:rsid w:val="00B2799B"/>
    <w:rsid w:val="00B40F1F"/>
    <w:rsid w:val="00B41B68"/>
    <w:rsid w:val="00B46512"/>
    <w:rsid w:val="00B67414"/>
    <w:rsid w:val="00B77565"/>
    <w:rsid w:val="00B91C4F"/>
    <w:rsid w:val="00B93D93"/>
    <w:rsid w:val="00BA11DC"/>
    <w:rsid w:val="00BC0636"/>
    <w:rsid w:val="00BC69E4"/>
    <w:rsid w:val="00BC7D4D"/>
    <w:rsid w:val="00BD6327"/>
    <w:rsid w:val="00BE54E7"/>
    <w:rsid w:val="00BE7222"/>
    <w:rsid w:val="00BF1AF8"/>
    <w:rsid w:val="00C11825"/>
    <w:rsid w:val="00C22B45"/>
    <w:rsid w:val="00C22DE7"/>
    <w:rsid w:val="00C33963"/>
    <w:rsid w:val="00C4084B"/>
    <w:rsid w:val="00C451B9"/>
    <w:rsid w:val="00C56C39"/>
    <w:rsid w:val="00C64C9F"/>
    <w:rsid w:val="00C85316"/>
    <w:rsid w:val="00CB033F"/>
    <w:rsid w:val="00CC07A2"/>
    <w:rsid w:val="00CE179B"/>
    <w:rsid w:val="00D023A7"/>
    <w:rsid w:val="00D02B9A"/>
    <w:rsid w:val="00D05EE3"/>
    <w:rsid w:val="00D076CD"/>
    <w:rsid w:val="00D1105F"/>
    <w:rsid w:val="00D11D26"/>
    <w:rsid w:val="00D17E66"/>
    <w:rsid w:val="00D30AE6"/>
    <w:rsid w:val="00D33DF8"/>
    <w:rsid w:val="00D50C82"/>
    <w:rsid w:val="00D50D34"/>
    <w:rsid w:val="00D56D40"/>
    <w:rsid w:val="00D6173C"/>
    <w:rsid w:val="00DC1266"/>
    <w:rsid w:val="00DF5053"/>
    <w:rsid w:val="00E31B09"/>
    <w:rsid w:val="00E341B0"/>
    <w:rsid w:val="00E40648"/>
    <w:rsid w:val="00E414E1"/>
    <w:rsid w:val="00E43C92"/>
    <w:rsid w:val="00E4558B"/>
    <w:rsid w:val="00E700AC"/>
    <w:rsid w:val="00E95C35"/>
    <w:rsid w:val="00E971DA"/>
    <w:rsid w:val="00EB403B"/>
    <w:rsid w:val="00EC32E6"/>
    <w:rsid w:val="00EC44D9"/>
    <w:rsid w:val="00ED4D3A"/>
    <w:rsid w:val="00EE14A4"/>
    <w:rsid w:val="00EF4A97"/>
    <w:rsid w:val="00F009F9"/>
    <w:rsid w:val="00F01F98"/>
    <w:rsid w:val="00F03200"/>
    <w:rsid w:val="00F22368"/>
    <w:rsid w:val="00F25D76"/>
    <w:rsid w:val="00F47582"/>
    <w:rsid w:val="00F52B48"/>
    <w:rsid w:val="00F53712"/>
    <w:rsid w:val="00F543DA"/>
    <w:rsid w:val="00F70A50"/>
    <w:rsid w:val="00F72A0E"/>
    <w:rsid w:val="00F83235"/>
    <w:rsid w:val="00F86F7A"/>
    <w:rsid w:val="00FD5C93"/>
    <w:rsid w:val="00FE319C"/>
    <w:rsid w:val="00FE4078"/>
    <w:rsid w:val="00FF0072"/>
    <w:rsid w:val="7E5E1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rPr>
      <w:sz w:val="18"/>
      <w:szCs w:val="18"/>
    </w:rPr>
  </w:style>
  <w:style w:type="paragraph" w:styleId="a5">
    <w:name w:val="Balloon Text"/>
    <w:basedOn w:val="a"/>
    <w:semiHidden/>
    <w:rPr>
      <w:sz w:val="18"/>
      <w:szCs w:val="18"/>
    </w:rPr>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4</DocSecurity>
  <PresentationFormat/>
  <Lines>16</Lines>
  <Paragraphs>4</Paragraphs>
  <Slides>0</Slides>
  <Notes>0</Notes>
  <HiddenSlides>0</HiddenSlides>
  <MMClips>0</MMClips>
  <ScaleCrop>false</ScaleCrop>
  <Company>Lenovo</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                            产品编号：</dc:title>
  <dc:creator>jy</dc:creator>
  <cp:lastModifiedBy>Administrator</cp:lastModifiedBy>
  <cp:revision>2</cp:revision>
  <cp:lastPrinted>2015-02-10T08:51:00Z</cp:lastPrinted>
  <dcterms:created xsi:type="dcterms:W3CDTF">2015-07-03T08:20:00Z</dcterms:created>
  <dcterms:modified xsi:type="dcterms:W3CDTF">2015-07-03T08:20:00Z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