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E7" w:rsidRDefault="005C3247">
      <w:pPr>
        <w:spacing w:line="560" w:lineRule="exact"/>
        <w:jc w:val="center"/>
        <w:rPr>
          <w:rFonts w:ascii="仿宋" w:eastAsia="仿宋" w:hAnsi="仿宋"/>
          <w:b/>
          <w:sz w:val="44"/>
          <w:szCs w:val="44"/>
        </w:rPr>
      </w:pPr>
      <w:r>
        <w:rPr>
          <w:rFonts w:ascii="仿宋" w:eastAsia="仿宋" w:hAnsi="仿宋" w:hint="eastAsia"/>
          <w:b/>
          <w:sz w:val="44"/>
          <w:szCs w:val="44"/>
        </w:rPr>
        <w:t>江西农商银行</w:t>
      </w:r>
    </w:p>
    <w:p w:rsidR="00964CE7" w:rsidRDefault="00492195">
      <w:pPr>
        <w:spacing w:line="560" w:lineRule="exact"/>
        <w:jc w:val="center"/>
        <w:rPr>
          <w:rFonts w:ascii="仿宋" w:eastAsia="仿宋" w:hAnsi="仿宋"/>
          <w:b/>
          <w:sz w:val="44"/>
          <w:szCs w:val="44"/>
        </w:rPr>
      </w:pPr>
      <w:r>
        <w:rPr>
          <w:rFonts w:ascii="仿宋" w:eastAsia="仿宋" w:hAnsi="仿宋" w:hint="eastAsia"/>
          <w:b/>
          <w:sz w:val="44"/>
          <w:szCs w:val="44"/>
        </w:rPr>
        <w:t>理财产品风险揭示书</w:t>
      </w:r>
    </w:p>
    <w:p w:rsidR="00964CE7" w:rsidRDefault="00964CE7">
      <w:pPr>
        <w:spacing w:line="420" w:lineRule="exact"/>
        <w:ind w:firstLineChars="147" w:firstLine="649"/>
        <w:jc w:val="center"/>
        <w:rPr>
          <w:rFonts w:ascii="仿宋" w:eastAsia="仿宋" w:hAnsi="仿宋"/>
          <w:b/>
          <w:sz w:val="44"/>
          <w:szCs w:val="44"/>
        </w:rPr>
      </w:pPr>
    </w:p>
    <w:p w:rsidR="0028588C" w:rsidRDefault="00492195">
      <w:pPr>
        <w:snapToGrid w:val="0"/>
        <w:spacing w:line="380" w:lineRule="exact"/>
        <w:jc w:val="left"/>
        <w:rPr>
          <w:ins w:id="0" w:author="匿名用户" w:date="2019-09-10T11:07:00Z"/>
          <w:rFonts w:ascii="仿宋" w:eastAsia="仿宋" w:hAnsi="仿宋" w:cs="宋体" w:hint="eastAsia"/>
          <w:kern w:val="0"/>
          <w:sz w:val="24"/>
          <w:u w:val="single"/>
        </w:rPr>
      </w:pPr>
      <w:r>
        <w:rPr>
          <w:rFonts w:ascii="仿宋" w:eastAsia="仿宋" w:hAnsi="仿宋" w:cs="宋体" w:hint="eastAsia"/>
          <w:kern w:val="0"/>
          <w:sz w:val="24"/>
        </w:rPr>
        <w:t>产品名称：</w:t>
      </w:r>
      <w:r w:rsidR="008F3D42" w:rsidRPr="008F3D42">
        <w:rPr>
          <w:rFonts w:ascii="仿宋" w:eastAsia="仿宋" w:hAnsi="仿宋" w:cs="宋体" w:hint="eastAsia"/>
          <w:kern w:val="0"/>
          <w:sz w:val="24"/>
          <w:u w:val="single"/>
        </w:rPr>
        <w:t>南昌农商银行百福理财聚福宝系列理财产品</w:t>
      </w:r>
      <w:r w:rsidR="008F3D42" w:rsidRPr="008F3D42">
        <w:rPr>
          <w:rFonts w:ascii="仿宋" w:eastAsia="仿宋" w:hAnsi="仿宋" w:cs="宋体"/>
          <w:kern w:val="0"/>
          <w:sz w:val="24"/>
          <w:u w:val="single"/>
        </w:rPr>
        <w:t>A款</w:t>
      </w:r>
    </w:p>
    <w:p w:rsidR="00964CE7" w:rsidRDefault="00B464E3">
      <w:pPr>
        <w:snapToGrid w:val="0"/>
        <w:spacing w:line="380" w:lineRule="exact"/>
        <w:jc w:val="left"/>
        <w:rPr>
          <w:rFonts w:ascii="仿宋" w:eastAsia="仿宋" w:hAnsi="仿宋" w:cs="宋体"/>
          <w:kern w:val="0"/>
          <w:sz w:val="24"/>
        </w:rPr>
      </w:pPr>
      <w:r w:rsidRPr="00B464E3">
        <w:rPr>
          <w:rFonts w:ascii="仿宋" w:eastAsia="仿宋" w:hAnsi="仿宋" w:cs="宋体" w:hint="eastAsia"/>
          <w:kern w:val="0"/>
          <w:sz w:val="24"/>
        </w:rPr>
        <w:t>理财产品登记编码</w:t>
      </w:r>
      <w:r w:rsidR="00492195">
        <w:rPr>
          <w:rFonts w:ascii="仿宋" w:eastAsia="仿宋" w:hAnsi="仿宋" w:cs="宋体" w:hint="eastAsia"/>
          <w:kern w:val="0"/>
          <w:sz w:val="24"/>
        </w:rPr>
        <w:t>：</w:t>
      </w:r>
      <w:r w:rsidRPr="00B464E3">
        <w:rPr>
          <w:rFonts w:ascii="仿宋" w:eastAsia="仿宋" w:hAnsi="仿宋" w:cs="宋体"/>
          <w:kern w:val="0"/>
          <w:sz w:val="24"/>
          <w:u w:val="single"/>
        </w:rPr>
        <w:t>C1118119000129</w:t>
      </w:r>
    </w:p>
    <w:p w:rsidR="00964CE7" w:rsidRDefault="00492195">
      <w:pPr>
        <w:snapToGrid w:val="0"/>
        <w:spacing w:line="380" w:lineRule="exact"/>
        <w:rPr>
          <w:rFonts w:ascii="仿宋" w:eastAsia="仿宋" w:hAnsi="仿宋"/>
          <w:sz w:val="24"/>
        </w:rPr>
      </w:pPr>
      <w:r>
        <w:rPr>
          <w:rFonts w:ascii="仿宋" w:eastAsia="仿宋" w:hAnsi="仿宋" w:cs="宋体" w:hint="eastAsia"/>
          <w:kern w:val="0"/>
          <w:sz w:val="24"/>
        </w:rPr>
        <w:t>产品风险等级：经发行人内部风险评估，该理财产品风险等级为</w:t>
      </w:r>
      <w:r w:rsidR="00B464E3">
        <w:rPr>
          <w:rFonts w:ascii="仿宋" w:eastAsia="仿宋" w:hAnsi="仿宋" w:cs="宋体" w:hint="eastAsia"/>
          <w:kern w:val="0"/>
          <w:sz w:val="24"/>
          <w:u w:val="single"/>
        </w:rPr>
        <w:t>二</w:t>
      </w:r>
      <w:r>
        <w:rPr>
          <w:rFonts w:ascii="仿宋" w:eastAsia="仿宋" w:hAnsi="仿宋" w:cs="宋体"/>
          <w:kern w:val="0"/>
          <w:sz w:val="24"/>
        </w:rPr>
        <w:t>级</w:t>
      </w:r>
    </w:p>
    <w:p w:rsidR="00B464E3" w:rsidRDefault="00B464E3">
      <w:pPr>
        <w:snapToGrid w:val="0"/>
        <w:spacing w:line="380" w:lineRule="exact"/>
        <w:rPr>
          <w:rFonts w:ascii="仿宋" w:eastAsia="仿宋" w:hAnsi="仿宋"/>
          <w:sz w:val="24"/>
        </w:rPr>
      </w:pPr>
    </w:p>
    <w:p w:rsidR="00964CE7" w:rsidRDefault="00492195">
      <w:pPr>
        <w:snapToGrid w:val="0"/>
        <w:spacing w:line="380" w:lineRule="exact"/>
        <w:rPr>
          <w:rFonts w:ascii="仿宋" w:eastAsia="仿宋" w:hAnsi="仿宋"/>
          <w:sz w:val="24"/>
        </w:rPr>
      </w:pPr>
      <w:r>
        <w:rPr>
          <w:rFonts w:ascii="仿宋" w:eastAsia="仿宋" w:hAnsi="仿宋" w:hint="eastAsia"/>
          <w:sz w:val="24"/>
        </w:rPr>
        <w:t>尊敬的投资者：</w:t>
      </w:r>
    </w:p>
    <w:p w:rsidR="00964CE7" w:rsidRPr="00C34CE5" w:rsidRDefault="008F3D42" w:rsidP="0028588C">
      <w:pPr>
        <w:pStyle w:val="a3"/>
        <w:snapToGrid w:val="0"/>
        <w:spacing w:before="0" w:line="380" w:lineRule="exact"/>
        <w:ind w:left="0" w:right="121" w:firstLineChars="200" w:firstLine="482"/>
        <w:jc w:val="both"/>
        <w:rPr>
          <w:rFonts w:ascii="仿宋" w:eastAsia="仿宋" w:hAnsi="仿宋"/>
          <w:b/>
          <w:spacing w:val="-1"/>
          <w:sz w:val="24"/>
          <w:szCs w:val="24"/>
        </w:rPr>
      </w:pPr>
      <w:r w:rsidRPr="008F3D42">
        <w:rPr>
          <w:rFonts w:ascii="仿宋" w:eastAsia="仿宋" w:hAnsi="仿宋" w:hint="eastAsia"/>
          <w:b/>
          <w:sz w:val="24"/>
          <w:szCs w:val="24"/>
        </w:rPr>
        <w:t>由于理财资金管理运用过程中，可能会面临多种风险因素，因此，根据中国银行保险监督</w:t>
      </w:r>
      <w:r w:rsidRPr="008F3D42">
        <w:rPr>
          <w:rFonts w:ascii="仿宋" w:eastAsia="仿宋" w:hAnsi="仿宋" w:hint="eastAsia"/>
          <w:b/>
          <w:spacing w:val="-1"/>
          <w:sz w:val="24"/>
          <w:szCs w:val="24"/>
        </w:rPr>
        <w:t>管理委员会的相关监管规定，在您选择购买本理财产品前，请仔细阅读以下重要内容。</w:t>
      </w:r>
    </w:p>
    <w:p w:rsidR="00964CE7" w:rsidRDefault="00492195">
      <w:pPr>
        <w:pStyle w:val="Default"/>
        <w:snapToGrid w:val="0"/>
        <w:spacing w:line="380" w:lineRule="exact"/>
        <w:ind w:firstLineChars="196" w:firstLine="472"/>
        <w:rPr>
          <w:rFonts w:ascii="仿宋" w:eastAsia="仿宋" w:hAnsi="仿宋"/>
          <w:b/>
          <w:bCs/>
          <w:color w:val="auto"/>
        </w:rPr>
      </w:pPr>
      <w:r>
        <w:rPr>
          <w:rFonts w:ascii="仿宋" w:eastAsia="仿宋" w:hAnsi="仿宋" w:hint="eastAsia"/>
          <w:b/>
          <w:bCs/>
          <w:color w:val="auto"/>
        </w:rPr>
        <w:t>一、我行郑重提示</w:t>
      </w:r>
    </w:p>
    <w:p w:rsidR="00964CE7" w:rsidRDefault="00492195">
      <w:pPr>
        <w:pStyle w:val="Default"/>
        <w:snapToGrid w:val="0"/>
        <w:spacing w:line="380" w:lineRule="exact"/>
        <w:ind w:firstLineChars="200" w:firstLine="480"/>
        <w:rPr>
          <w:rFonts w:ascii="仿宋" w:eastAsia="仿宋" w:hAnsi="仿宋"/>
          <w:color w:val="auto"/>
        </w:rPr>
      </w:pPr>
      <w:r>
        <w:rPr>
          <w:rFonts w:ascii="仿宋" w:eastAsia="仿宋" w:hAnsi="仿宋" w:hint="eastAsia"/>
          <w:color w:val="auto"/>
        </w:rPr>
        <w:t>1、本理财产品不同于银行存款，具有一定的风险，我行对理财本金与收益不承担保证责任。</w:t>
      </w:r>
    </w:p>
    <w:p w:rsidR="00964CE7" w:rsidRDefault="00492195">
      <w:pPr>
        <w:pStyle w:val="Default"/>
        <w:snapToGrid w:val="0"/>
        <w:spacing w:line="380" w:lineRule="exact"/>
        <w:ind w:firstLineChars="200" w:firstLine="480"/>
        <w:rPr>
          <w:rFonts w:ascii="仿宋" w:eastAsia="仿宋" w:hAnsi="仿宋"/>
          <w:color w:val="auto"/>
        </w:rPr>
      </w:pPr>
      <w:r>
        <w:rPr>
          <w:rFonts w:ascii="仿宋" w:eastAsia="仿宋" w:hAnsi="仿宋" w:hint="eastAsia"/>
          <w:color w:val="auto"/>
        </w:rPr>
        <w:t>2、在签署本理财产品协议书前，请投资者仔细阅读本风险揭示书、本理财产品说明书和客户权益须知的全部内容，详细了解本理财产品的资金投资方向、风险类型及理财收益等具体情况；如对销售文件有任何疑问，请及时向</w:t>
      </w:r>
      <w:r w:rsidR="005C3247">
        <w:rPr>
          <w:rFonts w:ascii="仿宋" w:eastAsia="仿宋" w:hAnsi="仿宋" w:hint="eastAsia"/>
          <w:color w:val="auto"/>
        </w:rPr>
        <w:t>江西农商银行</w:t>
      </w:r>
      <w:r>
        <w:rPr>
          <w:rFonts w:ascii="仿宋" w:eastAsia="仿宋" w:hAnsi="仿宋" w:hint="eastAsia"/>
          <w:color w:val="auto"/>
        </w:rPr>
        <w:t>各营业网点咨询。</w:t>
      </w:r>
    </w:p>
    <w:p w:rsidR="00964CE7" w:rsidRDefault="00492195">
      <w:pPr>
        <w:pStyle w:val="Default"/>
        <w:snapToGrid w:val="0"/>
        <w:spacing w:line="380" w:lineRule="exact"/>
        <w:ind w:firstLineChars="200" w:firstLine="480"/>
        <w:rPr>
          <w:rFonts w:ascii="仿宋" w:eastAsia="仿宋" w:hAnsi="仿宋"/>
          <w:color w:val="auto"/>
        </w:rPr>
      </w:pPr>
      <w:r>
        <w:rPr>
          <w:rFonts w:ascii="仿宋" w:eastAsia="仿宋" w:hAnsi="仿宋" w:hint="eastAsia"/>
          <w:color w:val="auto"/>
        </w:rPr>
        <w:t>3、投资者投资本产品前，应充分了解本产品风险，包括信用风险、利率风险、流动性风险、法律与政策风险、延期支付风险、提前终止风险等，具体详见以下“风险提示”部分，确保完全明白此类投资的性质和所涉及的风险。</w:t>
      </w:r>
    </w:p>
    <w:p w:rsidR="00964CE7" w:rsidRDefault="00492195">
      <w:pPr>
        <w:pStyle w:val="Default"/>
        <w:snapToGrid w:val="0"/>
        <w:spacing w:line="380" w:lineRule="exact"/>
        <w:ind w:firstLineChars="200" w:firstLine="480"/>
        <w:rPr>
          <w:rFonts w:ascii="仿宋" w:eastAsia="仿宋" w:hAnsi="仿宋"/>
          <w:color w:val="auto"/>
        </w:rPr>
      </w:pPr>
      <w:r>
        <w:rPr>
          <w:rFonts w:ascii="仿宋" w:eastAsia="仿宋" w:hAnsi="仿宋" w:hint="eastAsia"/>
          <w:color w:val="auto"/>
        </w:rPr>
        <w:t>4、投资者应独立、自主、谨慎做出投资决策，购买与自身风险承受能力和资产管理需求匹配的理财产品。</w:t>
      </w:r>
    </w:p>
    <w:p w:rsidR="00964CE7" w:rsidRDefault="00492195">
      <w:pPr>
        <w:pStyle w:val="a3"/>
        <w:snapToGrid w:val="0"/>
        <w:spacing w:before="0" w:line="380" w:lineRule="exact"/>
        <w:ind w:left="0" w:right="121" w:firstLineChars="200" w:firstLine="480"/>
        <w:jc w:val="both"/>
        <w:rPr>
          <w:rFonts w:ascii="仿宋" w:eastAsia="仿宋" w:hAnsi="仿宋"/>
          <w:spacing w:val="-1"/>
          <w:sz w:val="24"/>
          <w:szCs w:val="24"/>
        </w:rPr>
      </w:pPr>
      <w:r>
        <w:rPr>
          <w:rFonts w:ascii="仿宋" w:eastAsia="仿宋" w:hAnsi="仿宋" w:hint="eastAsia"/>
          <w:sz w:val="24"/>
          <w:szCs w:val="24"/>
        </w:rPr>
        <w:t>5、在购买理财产品后，投资者应随时关注本理财产品的信息披露情况，及时获取相关信息。</w:t>
      </w:r>
    </w:p>
    <w:p w:rsidR="00964CE7" w:rsidRDefault="00492195">
      <w:pPr>
        <w:pStyle w:val="a3"/>
        <w:spacing w:before="0" w:line="380" w:lineRule="exact"/>
        <w:ind w:left="0" w:right="121" w:firstLineChars="200" w:firstLine="476"/>
        <w:jc w:val="both"/>
        <w:rPr>
          <w:rFonts w:ascii="仿宋" w:eastAsia="仿宋" w:hAnsi="仿宋"/>
          <w:b/>
          <w:sz w:val="24"/>
          <w:szCs w:val="24"/>
        </w:rPr>
      </w:pPr>
      <w:r>
        <w:rPr>
          <w:rFonts w:ascii="仿宋" w:eastAsia="仿宋" w:hAnsi="仿宋" w:hint="eastAsia"/>
          <w:spacing w:val="-1"/>
          <w:sz w:val="24"/>
          <w:szCs w:val="24"/>
        </w:rPr>
        <w:t>二、</w:t>
      </w:r>
      <w:r>
        <w:rPr>
          <w:rFonts w:ascii="仿宋" w:eastAsia="仿宋" w:hAnsi="仿宋" w:hint="eastAsia"/>
          <w:b/>
          <w:sz w:val="24"/>
          <w:szCs w:val="24"/>
        </w:rPr>
        <w:t>投资者应充分认识以下风险：</w:t>
      </w:r>
    </w:p>
    <w:p w:rsidR="00964CE7" w:rsidRDefault="00492195">
      <w:pPr>
        <w:pStyle w:val="a3"/>
        <w:spacing w:before="0" w:line="380" w:lineRule="exact"/>
        <w:ind w:left="0" w:right="121" w:firstLineChars="200" w:firstLine="482"/>
        <w:jc w:val="both"/>
        <w:rPr>
          <w:rFonts w:ascii="仿宋" w:eastAsia="仿宋" w:hAnsi="仿宋"/>
          <w:b/>
          <w:sz w:val="24"/>
          <w:szCs w:val="24"/>
        </w:rPr>
      </w:pPr>
      <w:r>
        <w:rPr>
          <w:rFonts w:ascii="仿宋" w:eastAsia="仿宋" w:hAnsi="仿宋" w:hint="eastAsia"/>
          <w:b/>
          <w:sz w:val="24"/>
          <w:szCs w:val="24"/>
        </w:rPr>
        <w:t>理财非存款、产品有风险、投资须谨慎。</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1、信用风险。</w:t>
      </w:r>
      <w:r>
        <w:rPr>
          <w:rFonts w:ascii="仿宋" w:eastAsia="仿宋" w:hAnsi="仿宋" w:hint="eastAsia"/>
          <w:color w:val="auto"/>
        </w:rPr>
        <w:t>理财产品投资运作过程中，理财产品管理人将根据产品说明书的约定投资于相关金融工具或资产，如果投资的债务人、交易对手等发生违约，信用状况恶化等，客户将面临本金和收益损失的风险。</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2、利率风险。</w:t>
      </w:r>
      <w:r>
        <w:rPr>
          <w:rFonts w:ascii="仿宋" w:eastAsia="仿宋" w:hAnsi="仿宋" w:hint="eastAsia"/>
          <w:color w:val="auto"/>
        </w:rPr>
        <w:t>理财产品存续期内，如果市场利率发生变化，并导致理财产品所投资产的收益率大幅下跌，则可能造成客户本金及收益遭受损失；如果物价指数上升，理财产品的收益率低于通货膨胀率，可能存在造成客户投资理财产品获得的实际收益率为负的风险。</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b/>
          <w:color w:val="auto"/>
        </w:rPr>
        <w:t>3</w:t>
      </w:r>
      <w:r>
        <w:rPr>
          <w:rFonts w:ascii="仿宋" w:eastAsia="仿宋" w:hAnsi="仿宋" w:hint="eastAsia"/>
          <w:b/>
          <w:color w:val="auto"/>
        </w:rPr>
        <w:t>、流动性风险。</w:t>
      </w:r>
      <w:r>
        <w:rPr>
          <w:rFonts w:ascii="仿宋" w:eastAsia="仿宋" w:hAnsi="仿宋" w:hint="eastAsia"/>
          <w:color w:val="auto"/>
        </w:rPr>
        <w:t>理财产品在投资周期内封闭运作，投资者不能赎回，带来</w:t>
      </w:r>
      <w:r>
        <w:rPr>
          <w:rFonts w:ascii="仿宋" w:eastAsia="仿宋" w:hAnsi="仿宋" w:hint="eastAsia"/>
          <w:color w:val="auto"/>
        </w:rPr>
        <w:lastRenderedPageBreak/>
        <w:t>流动性风险。在产品投资周期内如果客户有流动性需求，客户不能够使用理财产品的资金，也因此丧失了投资其它更高收益的理财产品或资本市场产品的机会。理财产品配置的组合资产平均剩余期限晚于本理财产品到期日时，理财产品到期后，组合中的未到期资产将按市场公允价值变现，实现对本期理财产品的本息兑付。</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4、法律与政策风险。</w:t>
      </w:r>
      <w:r>
        <w:rPr>
          <w:rFonts w:ascii="仿宋" w:eastAsia="仿宋" w:hAnsi="仿宋" w:hint="eastAsia"/>
          <w:color w:val="auto"/>
        </w:rPr>
        <w:t>国家监管政策、货币政策、财政税收政策、产业政策、宏观政策及相关法律、法规的调整与变化将会影响理财产品的设立、投资及管理等的正常运行，甚至导致理财产品本金和收益发生损失。</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5、延期支付风险。</w:t>
      </w:r>
      <w:r>
        <w:rPr>
          <w:rFonts w:ascii="仿宋" w:eastAsia="仿宋" w:hAnsi="仿宋" w:hint="eastAsia"/>
          <w:color w:val="auto"/>
        </w:rPr>
        <w:t>指因市场内部和外部的原因导致理财受托管理资产不能及时变现而造成理财产品不能按时兑付，理财期限可能相应延长，从而导致本理财产品部分本金及收益的延期支付。</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6、提前终止风险。</w:t>
      </w:r>
      <w:r>
        <w:rPr>
          <w:rFonts w:ascii="仿宋" w:eastAsia="仿宋" w:hAnsi="仿宋" w:hint="eastAsia"/>
          <w:color w:val="auto"/>
        </w:rPr>
        <w:t>如遇国家金融政策重大调整影响产品正常运作时，理财产品的投资资产又不能成立或者提前终止、或者司法机关要求、或发生其他产品发行行认为需要提前终止本理财产品等情况，产品发行行有权部分或全部提前终止理财产品，可能造成客户无法实现期初预期全部收益的风险。</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7、信息传递风险。</w:t>
      </w:r>
      <w:r w:rsidR="005C3247">
        <w:rPr>
          <w:rFonts w:ascii="仿宋" w:eastAsia="仿宋" w:hAnsi="仿宋" w:hint="eastAsia"/>
          <w:color w:val="auto"/>
        </w:rPr>
        <w:t>江西农商银行</w:t>
      </w:r>
      <w:r>
        <w:rPr>
          <w:rFonts w:ascii="仿宋" w:eastAsia="仿宋" w:hAnsi="仿宋" w:hint="eastAsia"/>
          <w:color w:val="auto"/>
        </w:rPr>
        <w:t>按照有关信息披露条款的约定，发布理财产品的信息与公告。客户应根据信息披露条款的约定，主动、及时登陆</w:t>
      </w:r>
      <w:r w:rsidR="005C3247">
        <w:rPr>
          <w:rFonts w:ascii="仿宋" w:eastAsia="仿宋" w:hAnsi="仿宋" w:hint="eastAsia"/>
          <w:color w:val="auto"/>
        </w:rPr>
        <w:t>江西农商银行</w:t>
      </w:r>
      <w:r>
        <w:rPr>
          <w:rFonts w:ascii="仿宋" w:eastAsia="仿宋" w:hAnsi="仿宋" w:hint="eastAsia"/>
          <w:color w:val="auto"/>
        </w:rPr>
        <w:t>网站（</w:t>
      </w:r>
      <w:r>
        <w:rPr>
          <w:rFonts w:ascii="仿宋" w:eastAsia="仿宋" w:hAnsi="仿宋"/>
          <w:color w:val="auto"/>
        </w:rPr>
        <w:t>www.</w:t>
      </w:r>
      <w:r>
        <w:rPr>
          <w:rFonts w:ascii="仿宋" w:eastAsia="仿宋" w:hAnsi="仿宋" w:hint="eastAsia"/>
          <w:color w:val="auto"/>
        </w:rPr>
        <w:t>jxnxs</w:t>
      </w:r>
      <w:r>
        <w:rPr>
          <w:rFonts w:ascii="仿宋" w:eastAsia="仿宋" w:hAnsi="仿宋"/>
          <w:color w:val="auto"/>
        </w:rPr>
        <w:t>.com.cn</w:t>
      </w:r>
      <w:r>
        <w:rPr>
          <w:rFonts w:ascii="仿宋" w:eastAsia="仿宋" w:hAnsi="仿宋" w:hint="eastAsia"/>
          <w:color w:val="auto"/>
        </w:rPr>
        <w:t>），以及通过营业网点及电子渠道获取相关信息。如果客户未及时查询，或由于通讯故障、系统故障以及其他不可抗力等因素的影响，无法及时了解产品信息，由此而产生的责任和风险由客户自行承担。如客户预留的有效联系方式变更但未及时告知我行的，致使在需要联系客户时无法及时联系并可能会由此影响客户的投资决策，由此而产生的责任和风险由客户自行承担。</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8、理财产品不成立风险。</w:t>
      </w:r>
      <w:r>
        <w:rPr>
          <w:rFonts w:ascii="仿宋" w:eastAsia="仿宋" w:hAnsi="仿宋" w:hint="eastAsia"/>
          <w:color w:val="auto"/>
        </w:rPr>
        <w:t>如自理财产品开始认购至原定成立日之前，认购总金额未达到规模下限（如有约定），或国家宏观政策以及市场相关法规政策发生变化，或市场发生剧烈波动，经产品发行行合理判断难以按照产品说明书规定向客户提供理财产品，产品发行行有权宣布该产品不成立。</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9、管理人风险。</w:t>
      </w:r>
      <w:r>
        <w:rPr>
          <w:rFonts w:ascii="仿宋" w:eastAsia="仿宋" w:hAnsi="仿宋" w:hint="eastAsia"/>
          <w:color w:val="auto"/>
        </w:rPr>
        <w:t>理财产品管理人或理财投资资产相关服务机构受经验、技能等因素的限制，或上述主体出现处理事务不当等情况，可能导致客户收益遭受损失。</w:t>
      </w:r>
    </w:p>
    <w:p w:rsidR="00964CE7" w:rsidRDefault="00492195">
      <w:pPr>
        <w:pStyle w:val="Default"/>
        <w:snapToGrid w:val="0"/>
        <w:spacing w:line="380" w:lineRule="exact"/>
        <w:ind w:firstLineChars="200" w:firstLine="482"/>
        <w:rPr>
          <w:rFonts w:ascii="仿宋" w:eastAsia="仿宋" w:hAnsi="仿宋"/>
          <w:color w:val="auto"/>
        </w:rPr>
      </w:pPr>
      <w:r>
        <w:rPr>
          <w:rFonts w:ascii="仿宋" w:eastAsia="仿宋" w:hAnsi="仿宋" w:hint="eastAsia"/>
          <w:b/>
          <w:color w:val="auto"/>
        </w:rPr>
        <w:t>10、不可抗力及意外事件风险。</w:t>
      </w:r>
      <w:r>
        <w:rPr>
          <w:rFonts w:ascii="仿宋" w:eastAsia="仿宋" w:hAnsi="仿宋" w:hint="eastAsia"/>
          <w:color w:val="auto"/>
        </w:rPr>
        <w:t>战争、自然灾害、重大政治事件等不可抗力以及其他不可预见的意外事件，可能致使理财产品面临损失。</w:t>
      </w:r>
    </w:p>
    <w:p w:rsidR="00964CE7" w:rsidRDefault="00492195">
      <w:pPr>
        <w:pStyle w:val="Default"/>
        <w:snapToGrid w:val="0"/>
        <w:spacing w:line="380" w:lineRule="exact"/>
        <w:ind w:firstLineChars="200" w:firstLine="482"/>
        <w:rPr>
          <w:rFonts w:ascii="仿宋" w:eastAsia="仿宋" w:hAnsi="仿宋"/>
          <w:b/>
          <w:color w:val="auto"/>
        </w:rPr>
      </w:pPr>
      <w:r>
        <w:rPr>
          <w:rFonts w:ascii="仿宋" w:eastAsia="仿宋" w:hAnsi="仿宋" w:hint="eastAsia"/>
          <w:b/>
          <w:color w:val="auto"/>
        </w:rPr>
        <w:t>三、其他</w:t>
      </w:r>
    </w:p>
    <w:p w:rsidR="00964CE7" w:rsidRDefault="00492195">
      <w:pPr>
        <w:pStyle w:val="Default"/>
        <w:snapToGrid w:val="0"/>
        <w:spacing w:line="380" w:lineRule="exact"/>
        <w:ind w:firstLineChars="200" w:firstLine="480"/>
        <w:rPr>
          <w:rFonts w:ascii="仿宋" w:eastAsia="仿宋" w:hAnsi="仿宋"/>
          <w:color w:val="auto"/>
        </w:rPr>
      </w:pPr>
      <w:r>
        <w:rPr>
          <w:rFonts w:ascii="仿宋" w:eastAsia="仿宋" w:hAnsi="仿宋" w:hint="eastAsia"/>
          <w:color w:val="auto"/>
        </w:rPr>
        <w:t>如影响您风险承受能力的因素发生变化，请及时告知我行并重新进行风险承受能力评估。本风险分级为</w:t>
      </w:r>
      <w:r w:rsidR="005C3247">
        <w:rPr>
          <w:rFonts w:ascii="仿宋" w:eastAsia="仿宋" w:hAnsi="仿宋" w:hint="eastAsia"/>
          <w:color w:val="auto"/>
        </w:rPr>
        <w:t>江西农商银行</w:t>
      </w:r>
      <w:r>
        <w:rPr>
          <w:rFonts w:ascii="仿宋" w:eastAsia="仿宋" w:hAnsi="仿宋" w:hint="eastAsia"/>
          <w:color w:val="auto"/>
        </w:rPr>
        <w:t>自行评定，仅供参考，</w:t>
      </w:r>
      <w:r w:rsidR="005C3247">
        <w:rPr>
          <w:rFonts w:ascii="仿宋" w:eastAsia="仿宋" w:hAnsi="仿宋" w:hint="eastAsia"/>
          <w:color w:val="auto"/>
        </w:rPr>
        <w:t>江西农商银行</w:t>
      </w:r>
      <w:r>
        <w:rPr>
          <w:rFonts w:ascii="仿宋" w:eastAsia="仿宋" w:hAnsi="仿宋" w:hint="eastAsia"/>
          <w:color w:val="auto"/>
        </w:rPr>
        <w:t>并不对前述风险分级结果的准确性做出任何形式的保证。</w:t>
      </w:r>
    </w:p>
    <w:p w:rsidR="00964CE7" w:rsidRPr="00C34CE5" w:rsidRDefault="008F3D42" w:rsidP="0028588C">
      <w:pPr>
        <w:pStyle w:val="Default"/>
        <w:snapToGrid w:val="0"/>
        <w:spacing w:line="380" w:lineRule="exact"/>
        <w:ind w:firstLineChars="200" w:firstLine="482"/>
        <w:rPr>
          <w:rFonts w:ascii="仿宋" w:eastAsia="仿宋" w:hAnsi="仿宋"/>
          <w:b/>
          <w:color w:val="auto"/>
        </w:rPr>
      </w:pPr>
      <w:r w:rsidRPr="008F3D42">
        <w:rPr>
          <w:rFonts w:ascii="仿宋" w:eastAsia="仿宋" w:hAnsi="仿宋" w:hint="eastAsia"/>
          <w:b/>
          <w:color w:val="auto"/>
        </w:rPr>
        <w:lastRenderedPageBreak/>
        <w:t>本理财产品是非保本浮动收益型理财产品，我行对本理财产品的本金和收益不提供任何保证承诺，在发生最不利的情况下（可能但不一定发生），客户可能无法取得理财收益，甚至可能面临损失理财本金的风险，投资者应充分认识投资风险，谨慎投资。</w:t>
      </w:r>
    </w:p>
    <w:p w:rsidR="00964CE7" w:rsidRPr="00C34CE5" w:rsidRDefault="008F3D42" w:rsidP="0028588C">
      <w:pPr>
        <w:pStyle w:val="Default"/>
        <w:snapToGrid w:val="0"/>
        <w:spacing w:line="380" w:lineRule="exact"/>
        <w:ind w:firstLineChars="200" w:firstLine="482"/>
        <w:rPr>
          <w:rFonts w:ascii="仿宋" w:eastAsia="仿宋" w:hAnsi="仿宋"/>
          <w:b/>
          <w:color w:val="auto"/>
        </w:rPr>
      </w:pPr>
      <w:r w:rsidRPr="008F3D42">
        <w:rPr>
          <w:rFonts w:ascii="仿宋" w:eastAsia="仿宋" w:hAnsi="仿宋" w:hint="eastAsia"/>
          <w:b/>
          <w:color w:val="auto"/>
        </w:rPr>
        <w:t>在您签署本理财产品协议书前，应当仔细阅读本风险揭示书、本理财产品说明书和客户权益须知的全部内容，同时向我行了解本理财产品的其他相关信息，并自己独立作出是否认购本理财产品的决定。</w:t>
      </w:r>
    </w:p>
    <w:p w:rsidR="00964CE7" w:rsidRPr="00C34CE5" w:rsidRDefault="008F3D42" w:rsidP="0028588C">
      <w:pPr>
        <w:pStyle w:val="Default"/>
        <w:snapToGrid w:val="0"/>
        <w:spacing w:line="380" w:lineRule="exact"/>
        <w:ind w:firstLineChars="200" w:firstLine="482"/>
        <w:rPr>
          <w:rFonts w:ascii="仿宋" w:eastAsia="仿宋" w:hAnsi="仿宋"/>
          <w:b/>
          <w:color w:val="auto"/>
        </w:rPr>
      </w:pPr>
      <w:r w:rsidRPr="008F3D42">
        <w:rPr>
          <w:rFonts w:ascii="仿宋" w:eastAsia="仿宋" w:hAnsi="仿宋" w:hint="eastAsia"/>
          <w:b/>
          <w:color w:val="auto"/>
        </w:rPr>
        <w:t>您签署本揭示书、理财产品协议书，并将资金委托给我行运作是您真实的意思表示，您已知悉并理解理财产品的全部风险，并自愿承担由此带来的一切后果。本风险揭示书及相应理财产品协议书、理财产品说明书、客户权益须知、认购申请书、申购申请书和赎回申请书将共同构成贵我双方理财合同的有效组成部分。</w:t>
      </w:r>
    </w:p>
    <w:p w:rsidR="00964CE7" w:rsidRDefault="00964CE7">
      <w:pPr>
        <w:pStyle w:val="Default"/>
        <w:snapToGrid w:val="0"/>
        <w:spacing w:line="380" w:lineRule="exact"/>
        <w:ind w:firstLineChars="200" w:firstLine="480"/>
        <w:rPr>
          <w:rFonts w:ascii="仿宋" w:eastAsia="仿宋" w:hAnsi="仿宋"/>
          <w:color w:val="auto"/>
        </w:rPr>
      </w:pPr>
    </w:p>
    <w:p w:rsidR="00964CE7" w:rsidRDefault="00492195">
      <w:pPr>
        <w:pStyle w:val="Default"/>
        <w:snapToGrid w:val="0"/>
        <w:spacing w:line="380" w:lineRule="exact"/>
        <w:jc w:val="right"/>
        <w:rPr>
          <w:rFonts w:ascii="仿宋" w:eastAsia="仿宋" w:hAnsi="仿宋"/>
          <w:b/>
          <w:color w:val="auto"/>
        </w:rPr>
      </w:pPr>
      <w:r>
        <w:rPr>
          <w:rFonts w:ascii="仿宋" w:eastAsia="仿宋" w:hAnsi="仿宋" w:hint="eastAsia"/>
          <w:b/>
          <w:color w:val="auto"/>
        </w:rPr>
        <w:t>风险揭示方：</w:t>
      </w:r>
      <w:r w:rsidR="00CD7DB6">
        <w:rPr>
          <w:rFonts w:ascii="仿宋" w:eastAsia="仿宋" w:hAnsi="仿宋" w:hint="eastAsia"/>
          <w:b/>
          <w:color w:val="auto"/>
        </w:rPr>
        <w:t>南昌</w:t>
      </w:r>
      <w:r>
        <w:rPr>
          <w:rFonts w:ascii="仿宋" w:eastAsia="仿宋" w:hAnsi="仿宋" w:hint="eastAsia"/>
          <w:b/>
          <w:color w:val="auto"/>
        </w:rPr>
        <w:t>农商银行</w:t>
      </w:r>
    </w:p>
    <w:p w:rsidR="00964CE7" w:rsidRDefault="00964CE7">
      <w:pPr>
        <w:pStyle w:val="Default"/>
        <w:snapToGrid w:val="0"/>
        <w:spacing w:line="380" w:lineRule="exact"/>
        <w:rPr>
          <w:rFonts w:ascii="仿宋" w:eastAsia="仿宋" w:hAnsi="仿宋"/>
          <w:b/>
          <w:color w:val="auto"/>
        </w:rPr>
      </w:pPr>
    </w:p>
    <w:tbl>
      <w:tblPr>
        <w:tblStyle w:val="a7"/>
        <w:tblW w:w="8522" w:type="dxa"/>
        <w:tblLayout w:type="fixed"/>
        <w:tblLook w:val="04A0"/>
      </w:tblPr>
      <w:tblGrid>
        <w:gridCol w:w="426"/>
        <w:gridCol w:w="8096"/>
      </w:tblGrid>
      <w:tr w:rsidR="00964CE7">
        <w:tc>
          <w:tcPr>
            <w:tcW w:w="426" w:type="dxa"/>
            <w:vAlign w:val="center"/>
          </w:tcPr>
          <w:p w:rsidR="00964CE7" w:rsidRDefault="00492195">
            <w:pPr>
              <w:pStyle w:val="Default"/>
              <w:snapToGrid w:val="0"/>
              <w:spacing w:line="380" w:lineRule="exact"/>
              <w:jc w:val="center"/>
              <w:rPr>
                <w:rFonts w:ascii="仿宋" w:eastAsia="仿宋" w:hAnsi="仿宋"/>
                <w:color w:val="auto"/>
                <w:sz w:val="21"/>
                <w:szCs w:val="21"/>
              </w:rPr>
            </w:pPr>
            <w:r>
              <w:rPr>
                <w:rFonts w:ascii="仿宋" w:eastAsia="仿宋" w:hAnsi="仿宋" w:hint="eastAsia"/>
                <w:color w:val="auto"/>
                <w:sz w:val="21"/>
                <w:szCs w:val="21"/>
              </w:rPr>
              <w:t>个人投资者填写</w:t>
            </w:r>
          </w:p>
        </w:tc>
        <w:tc>
          <w:tcPr>
            <w:tcW w:w="8096" w:type="dxa"/>
          </w:tcPr>
          <w:p w:rsidR="00964CE7" w:rsidRDefault="00492195">
            <w:pPr>
              <w:pStyle w:val="Default"/>
              <w:snapToGrid w:val="0"/>
              <w:spacing w:line="380" w:lineRule="exact"/>
              <w:rPr>
                <w:rFonts w:ascii="仿宋" w:eastAsia="仿宋" w:hAnsi="仿宋"/>
                <w:b/>
                <w:color w:val="auto"/>
              </w:rPr>
            </w:pPr>
            <w:r>
              <w:rPr>
                <w:rFonts w:ascii="仿宋" w:eastAsia="仿宋" w:hAnsi="仿宋" w:hint="eastAsia"/>
                <w:b/>
                <w:color w:val="auto"/>
              </w:rPr>
              <w:t>个人投资者确认如下：</w:t>
            </w:r>
          </w:p>
          <w:p w:rsidR="00964CE7" w:rsidRDefault="00492195">
            <w:pPr>
              <w:pStyle w:val="Default"/>
              <w:snapToGrid w:val="0"/>
              <w:spacing w:line="380" w:lineRule="exact"/>
              <w:rPr>
                <w:rFonts w:ascii="仿宋" w:eastAsia="仿宋" w:hAnsi="仿宋"/>
                <w:b/>
                <w:color w:val="auto"/>
              </w:rPr>
            </w:pPr>
            <w:r>
              <w:rPr>
                <w:rFonts w:ascii="仿宋" w:eastAsia="仿宋" w:hAnsi="仿宋" w:hint="eastAsia"/>
                <w:color w:val="auto"/>
              </w:rPr>
              <w:t>投资者风险承受能力评级为：</w:t>
            </w:r>
            <w:r>
              <w:rPr>
                <w:rFonts w:ascii="仿宋" w:eastAsia="仿宋" w:hAnsi="仿宋" w:hint="eastAsia"/>
                <w:b/>
                <w:color w:val="auto"/>
              </w:rPr>
              <w:t>□</w:t>
            </w:r>
            <w:r>
              <w:rPr>
                <w:rFonts w:ascii="仿宋" w:eastAsia="仿宋" w:hAnsi="仿宋" w:hint="eastAsia"/>
                <w:color w:val="auto"/>
              </w:rPr>
              <w:t xml:space="preserve">保守型 </w:t>
            </w:r>
            <w:r>
              <w:rPr>
                <w:rFonts w:ascii="仿宋" w:eastAsia="仿宋" w:hAnsi="仿宋" w:hint="eastAsia"/>
                <w:b/>
                <w:color w:val="auto"/>
              </w:rPr>
              <w:t>□</w:t>
            </w:r>
            <w:r>
              <w:rPr>
                <w:rFonts w:ascii="仿宋" w:eastAsia="仿宋" w:hAnsi="仿宋" w:hint="eastAsia"/>
                <w:color w:val="auto"/>
              </w:rPr>
              <w:t xml:space="preserve">稳健型 </w:t>
            </w:r>
            <w:r>
              <w:rPr>
                <w:rFonts w:ascii="仿宋" w:eastAsia="仿宋" w:hAnsi="仿宋" w:hint="eastAsia"/>
                <w:b/>
                <w:color w:val="auto"/>
              </w:rPr>
              <w:t>□</w:t>
            </w:r>
            <w:r>
              <w:rPr>
                <w:rFonts w:ascii="仿宋" w:eastAsia="仿宋" w:hAnsi="仿宋" w:hint="eastAsia"/>
                <w:color w:val="auto"/>
              </w:rPr>
              <w:t xml:space="preserve">平衡型 </w:t>
            </w:r>
            <w:r>
              <w:rPr>
                <w:rFonts w:ascii="仿宋" w:eastAsia="仿宋" w:hAnsi="仿宋" w:hint="eastAsia"/>
                <w:b/>
                <w:color w:val="auto"/>
              </w:rPr>
              <w:t>□</w:t>
            </w:r>
            <w:r>
              <w:rPr>
                <w:rFonts w:ascii="仿宋" w:eastAsia="仿宋" w:hAnsi="仿宋" w:hint="eastAsia"/>
                <w:color w:val="auto"/>
              </w:rPr>
              <w:t xml:space="preserve">成长型 </w:t>
            </w:r>
            <w:r>
              <w:rPr>
                <w:rFonts w:ascii="仿宋" w:eastAsia="仿宋" w:hAnsi="仿宋" w:hint="eastAsia"/>
                <w:b/>
                <w:color w:val="auto"/>
              </w:rPr>
              <w:t>□</w:t>
            </w:r>
            <w:r>
              <w:rPr>
                <w:rFonts w:ascii="仿宋" w:eastAsia="仿宋" w:hAnsi="仿宋" w:hint="eastAsia"/>
                <w:color w:val="auto"/>
              </w:rPr>
              <w:t>进取型</w:t>
            </w:r>
          </w:p>
          <w:p w:rsidR="00964CE7" w:rsidRDefault="00492195">
            <w:pPr>
              <w:pStyle w:val="Default"/>
              <w:snapToGrid w:val="0"/>
              <w:spacing w:line="380" w:lineRule="exact"/>
              <w:rPr>
                <w:rFonts w:ascii="仿宋" w:eastAsia="仿宋" w:hAnsi="仿宋"/>
                <w:color w:val="auto"/>
              </w:rPr>
            </w:pPr>
            <w:r>
              <w:rPr>
                <w:rFonts w:ascii="仿宋" w:eastAsia="仿宋" w:hAnsi="仿宋" w:hint="eastAsia"/>
                <w:color w:val="auto"/>
              </w:rPr>
              <w:t>（客户需全文抄录以下文字以完成确认：</w:t>
            </w:r>
            <w:r>
              <w:rPr>
                <w:rFonts w:ascii="仿宋" w:eastAsia="仿宋" w:hAnsi="仿宋" w:hint="eastAsia"/>
                <w:b/>
                <w:color w:val="auto"/>
              </w:rPr>
              <w:t>本人已经阅读风险揭示，</w:t>
            </w:r>
            <w:r w:rsidR="00964CE7" w:rsidRPr="00964CE7">
              <w:rPr>
                <w:rFonts w:ascii="仿宋" w:eastAsia="仿宋" w:hAnsi="仿宋" w:hint="eastAsia"/>
                <w:b/>
                <w:color w:val="auto"/>
              </w:rPr>
              <w:t>已知悉并理解理财产品的全部风险，</w:t>
            </w:r>
            <w:r>
              <w:rPr>
                <w:rFonts w:ascii="仿宋" w:eastAsia="仿宋" w:hAnsi="仿宋" w:hint="eastAsia"/>
                <w:b/>
                <w:color w:val="auto"/>
              </w:rPr>
              <w:t>并愿意承担投资风险及后果</w:t>
            </w:r>
            <w:r>
              <w:rPr>
                <w:rFonts w:ascii="仿宋" w:eastAsia="仿宋" w:hAnsi="仿宋" w:hint="eastAsia"/>
                <w:color w:val="auto"/>
              </w:rPr>
              <w:t>。）</w:t>
            </w:r>
          </w:p>
          <w:p w:rsidR="00964CE7" w:rsidRDefault="00492195">
            <w:pPr>
              <w:pStyle w:val="a3"/>
              <w:snapToGrid w:val="0"/>
              <w:spacing w:before="0" w:line="380" w:lineRule="exact"/>
              <w:ind w:leftChars="48" w:left="101" w:right="121" w:firstLineChars="100" w:firstLine="240"/>
              <w:jc w:val="both"/>
              <w:rPr>
                <w:rFonts w:ascii="仿宋" w:eastAsia="仿宋" w:hAnsi="仿宋"/>
                <w:sz w:val="24"/>
                <w:szCs w:val="24"/>
              </w:rPr>
            </w:pPr>
            <w:r>
              <w:rPr>
                <w:rFonts w:ascii="仿宋" w:eastAsia="仿宋" w:hAnsi="仿宋" w:hint="eastAsia"/>
                <w:sz w:val="24"/>
                <w:szCs w:val="24"/>
              </w:rPr>
              <w:t>＿＿＿＿＿＿＿＿＿＿＿＿＿＿＿＿＿＿＿＿＿＿＿＿＿＿＿＿＿＿</w:t>
            </w:r>
          </w:p>
          <w:p w:rsidR="00964CE7" w:rsidRDefault="00964CE7">
            <w:pPr>
              <w:pStyle w:val="a3"/>
              <w:snapToGrid w:val="0"/>
              <w:spacing w:before="0" w:line="380" w:lineRule="exact"/>
              <w:ind w:leftChars="48" w:left="101" w:right="121"/>
              <w:jc w:val="both"/>
              <w:rPr>
                <w:rFonts w:ascii="仿宋" w:eastAsia="仿宋" w:hAnsi="仿宋"/>
                <w:sz w:val="24"/>
                <w:szCs w:val="24"/>
              </w:rPr>
            </w:pPr>
          </w:p>
          <w:p w:rsidR="00964CE7" w:rsidRDefault="00964CE7">
            <w:pPr>
              <w:pStyle w:val="a3"/>
              <w:snapToGrid w:val="0"/>
              <w:spacing w:before="0" w:line="380" w:lineRule="exact"/>
              <w:ind w:leftChars="48" w:left="101" w:right="121"/>
              <w:jc w:val="both"/>
              <w:rPr>
                <w:rFonts w:ascii="仿宋" w:eastAsia="仿宋" w:hAnsi="仿宋"/>
                <w:sz w:val="24"/>
                <w:szCs w:val="24"/>
              </w:rPr>
            </w:pPr>
          </w:p>
          <w:p w:rsidR="00964CE7" w:rsidRDefault="00492195" w:rsidP="005C3247">
            <w:pPr>
              <w:pStyle w:val="a3"/>
              <w:snapToGrid w:val="0"/>
              <w:spacing w:before="0" w:line="380" w:lineRule="exact"/>
              <w:ind w:leftChars="49" w:left="103" w:right="121" w:firstLineChars="2232" w:firstLine="5357"/>
              <w:jc w:val="both"/>
              <w:rPr>
                <w:rFonts w:ascii="仿宋" w:eastAsia="仿宋" w:hAnsi="仿宋"/>
                <w:sz w:val="24"/>
                <w:szCs w:val="24"/>
              </w:rPr>
            </w:pPr>
            <w:r>
              <w:rPr>
                <w:rFonts w:ascii="仿宋" w:eastAsia="仿宋" w:hAnsi="仿宋" w:hint="eastAsia"/>
                <w:sz w:val="24"/>
                <w:szCs w:val="24"/>
              </w:rPr>
              <w:t>投资者（签章）：</w:t>
            </w:r>
          </w:p>
          <w:p w:rsidR="00964CE7" w:rsidRDefault="00964CE7" w:rsidP="005C3247">
            <w:pPr>
              <w:pStyle w:val="a3"/>
              <w:snapToGrid w:val="0"/>
              <w:spacing w:before="0" w:line="380" w:lineRule="exact"/>
              <w:ind w:leftChars="49" w:left="103" w:right="121" w:firstLineChars="2232" w:firstLine="5357"/>
              <w:jc w:val="both"/>
              <w:rPr>
                <w:rFonts w:ascii="仿宋" w:eastAsia="仿宋" w:hAnsi="仿宋"/>
                <w:sz w:val="24"/>
                <w:szCs w:val="24"/>
              </w:rPr>
            </w:pPr>
          </w:p>
          <w:p w:rsidR="00964CE7" w:rsidRDefault="00492195">
            <w:pPr>
              <w:pStyle w:val="a3"/>
              <w:snapToGrid w:val="0"/>
              <w:spacing w:before="0" w:line="380" w:lineRule="exact"/>
              <w:ind w:left="0" w:right="121" w:firstLineChars="2300" w:firstLine="5520"/>
              <w:jc w:val="both"/>
              <w:rPr>
                <w:rFonts w:ascii="仿宋" w:eastAsia="仿宋" w:hAnsi="仿宋"/>
                <w:sz w:val="24"/>
                <w:szCs w:val="24"/>
              </w:rPr>
            </w:pPr>
            <w:r>
              <w:rPr>
                <w:rFonts w:ascii="仿宋" w:eastAsia="仿宋" w:hAnsi="仿宋" w:hint="eastAsia"/>
                <w:sz w:val="24"/>
                <w:szCs w:val="24"/>
              </w:rPr>
              <w:t>年   月   日</w:t>
            </w:r>
          </w:p>
          <w:p w:rsidR="00964CE7" w:rsidRDefault="00964CE7">
            <w:pPr>
              <w:pStyle w:val="a3"/>
              <w:snapToGrid w:val="0"/>
              <w:spacing w:before="0" w:line="380" w:lineRule="exact"/>
              <w:ind w:left="0" w:right="121"/>
              <w:jc w:val="both"/>
              <w:rPr>
                <w:rFonts w:ascii="仿宋" w:eastAsia="仿宋" w:hAnsi="仿宋"/>
              </w:rPr>
            </w:pPr>
          </w:p>
        </w:tc>
      </w:tr>
      <w:tr w:rsidR="00964CE7">
        <w:tc>
          <w:tcPr>
            <w:tcW w:w="426" w:type="dxa"/>
            <w:vAlign w:val="center"/>
          </w:tcPr>
          <w:p w:rsidR="00964CE7" w:rsidRDefault="00492195">
            <w:pPr>
              <w:pStyle w:val="Default"/>
              <w:snapToGrid w:val="0"/>
              <w:spacing w:line="380" w:lineRule="exact"/>
              <w:jc w:val="center"/>
              <w:rPr>
                <w:rFonts w:ascii="仿宋" w:eastAsia="仿宋" w:hAnsi="仿宋"/>
                <w:color w:val="auto"/>
                <w:sz w:val="21"/>
                <w:szCs w:val="21"/>
              </w:rPr>
            </w:pPr>
            <w:r>
              <w:rPr>
                <w:rFonts w:ascii="仿宋" w:eastAsia="仿宋" w:hAnsi="仿宋" w:hint="eastAsia"/>
                <w:color w:val="auto"/>
                <w:sz w:val="21"/>
                <w:szCs w:val="21"/>
              </w:rPr>
              <w:t>机构投资者填写</w:t>
            </w:r>
          </w:p>
        </w:tc>
        <w:tc>
          <w:tcPr>
            <w:tcW w:w="8096" w:type="dxa"/>
          </w:tcPr>
          <w:p w:rsidR="00964CE7" w:rsidRDefault="00492195">
            <w:pPr>
              <w:pStyle w:val="Default"/>
              <w:snapToGrid w:val="0"/>
              <w:spacing w:line="380" w:lineRule="exact"/>
              <w:rPr>
                <w:rFonts w:ascii="仿宋" w:eastAsia="仿宋" w:hAnsi="仿宋"/>
                <w:b/>
                <w:color w:val="auto"/>
              </w:rPr>
            </w:pPr>
            <w:r>
              <w:rPr>
                <w:rFonts w:ascii="仿宋" w:eastAsia="仿宋" w:hAnsi="仿宋" w:hint="eastAsia"/>
                <w:b/>
                <w:color w:val="auto"/>
              </w:rPr>
              <w:t>机构投资者确认如下：</w:t>
            </w:r>
          </w:p>
          <w:p w:rsidR="00964CE7" w:rsidRDefault="00492195">
            <w:pPr>
              <w:pStyle w:val="Default"/>
              <w:snapToGrid w:val="0"/>
              <w:spacing w:line="380" w:lineRule="exact"/>
              <w:rPr>
                <w:rFonts w:ascii="仿宋" w:eastAsia="仿宋" w:hAnsi="仿宋"/>
                <w:color w:val="auto"/>
              </w:rPr>
            </w:pPr>
            <w:r>
              <w:rPr>
                <w:rFonts w:ascii="仿宋" w:eastAsia="仿宋" w:hAnsi="仿宋" w:hint="eastAsia"/>
                <w:color w:val="auto"/>
              </w:rPr>
              <w:t>（客户需全文抄录以下文字以完成确认：</w:t>
            </w:r>
            <w:r>
              <w:rPr>
                <w:rFonts w:ascii="仿宋" w:eastAsia="仿宋" w:hAnsi="仿宋" w:hint="eastAsia"/>
                <w:b/>
                <w:color w:val="auto"/>
              </w:rPr>
              <w:t>我方已经阅读风险揭示，已知悉并理解理财产品的全部风险，并愿意承担投资风险及后果</w:t>
            </w:r>
            <w:r>
              <w:rPr>
                <w:rFonts w:ascii="仿宋" w:eastAsia="仿宋" w:hAnsi="仿宋" w:hint="eastAsia"/>
                <w:color w:val="auto"/>
              </w:rPr>
              <w:t>。）</w:t>
            </w:r>
          </w:p>
          <w:p w:rsidR="00964CE7" w:rsidRDefault="00492195">
            <w:pPr>
              <w:pStyle w:val="a3"/>
              <w:snapToGrid w:val="0"/>
              <w:spacing w:before="0" w:line="380" w:lineRule="exact"/>
              <w:ind w:leftChars="48" w:left="101" w:right="121" w:firstLineChars="100" w:firstLine="240"/>
              <w:jc w:val="both"/>
              <w:rPr>
                <w:rFonts w:ascii="仿宋" w:eastAsia="仿宋" w:hAnsi="仿宋"/>
                <w:sz w:val="24"/>
                <w:szCs w:val="24"/>
              </w:rPr>
            </w:pPr>
            <w:r>
              <w:rPr>
                <w:rFonts w:ascii="仿宋" w:eastAsia="仿宋" w:hAnsi="仿宋" w:hint="eastAsia"/>
                <w:sz w:val="24"/>
                <w:szCs w:val="24"/>
              </w:rPr>
              <w:t>＿＿＿＿＿＿＿＿＿＿＿＿＿＿＿＿＿＿＿＿＿＿＿＿＿＿＿＿＿＿</w:t>
            </w:r>
          </w:p>
          <w:p w:rsidR="00964CE7" w:rsidRDefault="00964CE7">
            <w:pPr>
              <w:pStyle w:val="a3"/>
              <w:snapToGrid w:val="0"/>
              <w:spacing w:before="0" w:line="380" w:lineRule="exact"/>
              <w:ind w:leftChars="48" w:left="101" w:right="121"/>
              <w:jc w:val="both"/>
              <w:rPr>
                <w:rFonts w:ascii="仿宋" w:eastAsia="仿宋" w:hAnsi="仿宋"/>
                <w:sz w:val="24"/>
                <w:szCs w:val="24"/>
              </w:rPr>
            </w:pPr>
          </w:p>
          <w:p w:rsidR="00964CE7" w:rsidRDefault="00964CE7">
            <w:pPr>
              <w:pStyle w:val="a3"/>
              <w:snapToGrid w:val="0"/>
              <w:spacing w:before="0" w:line="380" w:lineRule="exact"/>
              <w:ind w:leftChars="48" w:left="101" w:right="121"/>
              <w:jc w:val="both"/>
              <w:rPr>
                <w:rFonts w:ascii="仿宋" w:eastAsia="仿宋" w:hAnsi="仿宋"/>
                <w:sz w:val="24"/>
                <w:szCs w:val="24"/>
              </w:rPr>
            </w:pPr>
          </w:p>
          <w:p w:rsidR="00964CE7" w:rsidRDefault="00492195" w:rsidP="005C3247">
            <w:pPr>
              <w:pStyle w:val="a3"/>
              <w:snapToGrid w:val="0"/>
              <w:spacing w:before="0" w:line="380" w:lineRule="exact"/>
              <w:ind w:leftChars="49" w:left="103" w:right="121" w:firstLineChars="2232" w:firstLine="5357"/>
              <w:jc w:val="both"/>
              <w:rPr>
                <w:rFonts w:ascii="仿宋" w:eastAsia="仿宋" w:hAnsi="仿宋"/>
                <w:sz w:val="24"/>
                <w:szCs w:val="24"/>
              </w:rPr>
            </w:pPr>
            <w:r>
              <w:rPr>
                <w:rFonts w:ascii="仿宋" w:eastAsia="仿宋" w:hAnsi="仿宋" w:hint="eastAsia"/>
                <w:sz w:val="24"/>
                <w:szCs w:val="24"/>
              </w:rPr>
              <w:t>投资者（签章）：</w:t>
            </w:r>
          </w:p>
          <w:p w:rsidR="00964CE7" w:rsidRDefault="00964CE7" w:rsidP="005C3247">
            <w:pPr>
              <w:pStyle w:val="a3"/>
              <w:snapToGrid w:val="0"/>
              <w:spacing w:before="0" w:line="380" w:lineRule="exact"/>
              <w:ind w:leftChars="49" w:left="103" w:right="121" w:firstLineChars="2232" w:firstLine="5357"/>
              <w:jc w:val="both"/>
              <w:rPr>
                <w:rFonts w:ascii="仿宋" w:eastAsia="仿宋" w:hAnsi="仿宋"/>
                <w:sz w:val="24"/>
                <w:szCs w:val="24"/>
              </w:rPr>
            </w:pPr>
          </w:p>
          <w:p w:rsidR="00964CE7" w:rsidRDefault="00492195">
            <w:pPr>
              <w:pStyle w:val="a3"/>
              <w:snapToGrid w:val="0"/>
              <w:spacing w:before="0" w:line="380" w:lineRule="exact"/>
              <w:ind w:left="0" w:right="121" w:firstLineChars="2300" w:firstLine="5520"/>
              <w:jc w:val="both"/>
              <w:rPr>
                <w:rFonts w:ascii="仿宋" w:eastAsia="仿宋" w:hAnsi="仿宋"/>
              </w:rPr>
            </w:pPr>
            <w:r>
              <w:rPr>
                <w:rFonts w:ascii="仿宋" w:eastAsia="仿宋" w:hAnsi="仿宋" w:hint="eastAsia"/>
                <w:sz w:val="24"/>
                <w:szCs w:val="24"/>
              </w:rPr>
              <w:t>年   月   日</w:t>
            </w:r>
          </w:p>
        </w:tc>
        <w:bookmarkStart w:id="1" w:name="_GoBack"/>
        <w:bookmarkEnd w:id="1"/>
      </w:tr>
    </w:tbl>
    <w:p w:rsidR="00823B7C" w:rsidRDefault="00823B7C">
      <w:pPr>
        <w:pStyle w:val="a3"/>
        <w:snapToGrid w:val="0"/>
        <w:spacing w:before="0" w:line="380" w:lineRule="exact"/>
        <w:ind w:left="0" w:right="121"/>
        <w:jc w:val="both"/>
        <w:rPr>
          <w:rFonts w:ascii="仿宋" w:eastAsia="仿宋" w:hAnsi="仿宋"/>
        </w:rPr>
      </w:pPr>
    </w:p>
    <w:sectPr w:rsidR="00823B7C" w:rsidSect="00964CE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B7C" w:rsidRDefault="00823B7C" w:rsidP="00964CE7">
      <w:r>
        <w:separator/>
      </w:r>
    </w:p>
  </w:endnote>
  <w:endnote w:type="continuationSeparator" w:id="1">
    <w:p w:rsidR="00823B7C" w:rsidRDefault="00823B7C" w:rsidP="00964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B7C" w:rsidRDefault="00823B7C" w:rsidP="00964CE7">
      <w:r>
        <w:separator/>
      </w:r>
    </w:p>
  </w:footnote>
  <w:footnote w:type="continuationSeparator" w:id="1">
    <w:p w:rsidR="00823B7C" w:rsidRDefault="00823B7C" w:rsidP="00964CE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533"/>
    <w:rsid w:val="0000478A"/>
    <w:rsid w:val="00013523"/>
    <w:rsid w:val="00014F5F"/>
    <w:rsid w:val="00020CA0"/>
    <w:rsid w:val="00024638"/>
    <w:rsid w:val="0002664A"/>
    <w:rsid w:val="00026ADF"/>
    <w:rsid w:val="00034FE1"/>
    <w:rsid w:val="00035610"/>
    <w:rsid w:val="000405B3"/>
    <w:rsid w:val="00043862"/>
    <w:rsid w:val="0004521B"/>
    <w:rsid w:val="00045533"/>
    <w:rsid w:val="000646D2"/>
    <w:rsid w:val="00067232"/>
    <w:rsid w:val="00085282"/>
    <w:rsid w:val="00090859"/>
    <w:rsid w:val="00095121"/>
    <w:rsid w:val="000B4006"/>
    <w:rsid w:val="000C42AC"/>
    <w:rsid w:val="000F284F"/>
    <w:rsid w:val="000F6935"/>
    <w:rsid w:val="001005E7"/>
    <w:rsid w:val="001016EB"/>
    <w:rsid w:val="00103347"/>
    <w:rsid w:val="0011555C"/>
    <w:rsid w:val="00124D3C"/>
    <w:rsid w:val="00133034"/>
    <w:rsid w:val="001434DA"/>
    <w:rsid w:val="001473DE"/>
    <w:rsid w:val="00154A8B"/>
    <w:rsid w:val="001744E5"/>
    <w:rsid w:val="00183252"/>
    <w:rsid w:val="00183E4F"/>
    <w:rsid w:val="00184BEC"/>
    <w:rsid w:val="00196548"/>
    <w:rsid w:val="001A6A82"/>
    <w:rsid w:val="001D3DBD"/>
    <w:rsid w:val="001D5619"/>
    <w:rsid w:val="001E6E25"/>
    <w:rsid w:val="001F0B72"/>
    <w:rsid w:val="001F67DA"/>
    <w:rsid w:val="002050F8"/>
    <w:rsid w:val="002105E1"/>
    <w:rsid w:val="00212D9D"/>
    <w:rsid w:val="002244FF"/>
    <w:rsid w:val="00226516"/>
    <w:rsid w:val="00231109"/>
    <w:rsid w:val="002413C2"/>
    <w:rsid w:val="00252865"/>
    <w:rsid w:val="00256035"/>
    <w:rsid w:val="00262DB0"/>
    <w:rsid w:val="00266BFA"/>
    <w:rsid w:val="002768EC"/>
    <w:rsid w:val="00276FF8"/>
    <w:rsid w:val="00284531"/>
    <w:rsid w:val="0028588C"/>
    <w:rsid w:val="00290841"/>
    <w:rsid w:val="00294683"/>
    <w:rsid w:val="00295A49"/>
    <w:rsid w:val="002A30CA"/>
    <w:rsid w:val="002B417F"/>
    <w:rsid w:val="002C45ED"/>
    <w:rsid w:val="002C536F"/>
    <w:rsid w:val="002D13AC"/>
    <w:rsid w:val="002D5485"/>
    <w:rsid w:val="002F0FBC"/>
    <w:rsid w:val="00310FD9"/>
    <w:rsid w:val="00326BCC"/>
    <w:rsid w:val="003275DA"/>
    <w:rsid w:val="00355AED"/>
    <w:rsid w:val="00361013"/>
    <w:rsid w:val="00365E54"/>
    <w:rsid w:val="0037386A"/>
    <w:rsid w:val="003773B3"/>
    <w:rsid w:val="00385E21"/>
    <w:rsid w:val="00390DBA"/>
    <w:rsid w:val="003921F6"/>
    <w:rsid w:val="003A2028"/>
    <w:rsid w:val="003B3772"/>
    <w:rsid w:val="003D08B9"/>
    <w:rsid w:val="003D1558"/>
    <w:rsid w:val="003D23EC"/>
    <w:rsid w:val="003D4A42"/>
    <w:rsid w:val="003E76F2"/>
    <w:rsid w:val="00404A0B"/>
    <w:rsid w:val="0042715F"/>
    <w:rsid w:val="00435184"/>
    <w:rsid w:val="00441553"/>
    <w:rsid w:val="00450ADD"/>
    <w:rsid w:val="004753F6"/>
    <w:rsid w:val="00476AB2"/>
    <w:rsid w:val="00481E10"/>
    <w:rsid w:val="00483CAE"/>
    <w:rsid w:val="00492195"/>
    <w:rsid w:val="004A47DB"/>
    <w:rsid w:val="004A66A4"/>
    <w:rsid w:val="004B154F"/>
    <w:rsid w:val="004C69F9"/>
    <w:rsid w:val="004D216C"/>
    <w:rsid w:val="004D3808"/>
    <w:rsid w:val="004D5FFA"/>
    <w:rsid w:val="004D67AA"/>
    <w:rsid w:val="004D6C9C"/>
    <w:rsid w:val="004F0383"/>
    <w:rsid w:val="004F0C1E"/>
    <w:rsid w:val="004F521E"/>
    <w:rsid w:val="005204F5"/>
    <w:rsid w:val="00525462"/>
    <w:rsid w:val="005859A1"/>
    <w:rsid w:val="00586E12"/>
    <w:rsid w:val="0059612B"/>
    <w:rsid w:val="005C3247"/>
    <w:rsid w:val="005C3FB6"/>
    <w:rsid w:val="005C4402"/>
    <w:rsid w:val="005C45D8"/>
    <w:rsid w:val="005C7268"/>
    <w:rsid w:val="005C79DF"/>
    <w:rsid w:val="005D1897"/>
    <w:rsid w:val="005D3B34"/>
    <w:rsid w:val="005D62AE"/>
    <w:rsid w:val="005E58F7"/>
    <w:rsid w:val="005E76FA"/>
    <w:rsid w:val="005E7DC5"/>
    <w:rsid w:val="00603007"/>
    <w:rsid w:val="00606959"/>
    <w:rsid w:val="006121F0"/>
    <w:rsid w:val="00635D6B"/>
    <w:rsid w:val="0066537A"/>
    <w:rsid w:val="0066601A"/>
    <w:rsid w:val="0067252F"/>
    <w:rsid w:val="006B66F9"/>
    <w:rsid w:val="006E1B7B"/>
    <w:rsid w:val="006E7044"/>
    <w:rsid w:val="006F1FEE"/>
    <w:rsid w:val="0070126F"/>
    <w:rsid w:val="007022F0"/>
    <w:rsid w:val="0072144B"/>
    <w:rsid w:val="00732272"/>
    <w:rsid w:val="00732838"/>
    <w:rsid w:val="00736E42"/>
    <w:rsid w:val="00740238"/>
    <w:rsid w:val="00740810"/>
    <w:rsid w:val="007415E5"/>
    <w:rsid w:val="00744209"/>
    <w:rsid w:val="00746F93"/>
    <w:rsid w:val="00763574"/>
    <w:rsid w:val="0077547B"/>
    <w:rsid w:val="00785A1D"/>
    <w:rsid w:val="00794089"/>
    <w:rsid w:val="007A0F86"/>
    <w:rsid w:val="007C5D02"/>
    <w:rsid w:val="007E1A40"/>
    <w:rsid w:val="007F39DF"/>
    <w:rsid w:val="007F4124"/>
    <w:rsid w:val="00805103"/>
    <w:rsid w:val="0080782C"/>
    <w:rsid w:val="00807A5C"/>
    <w:rsid w:val="00823B7C"/>
    <w:rsid w:val="008405FE"/>
    <w:rsid w:val="00840F0D"/>
    <w:rsid w:val="00842A51"/>
    <w:rsid w:val="00851B28"/>
    <w:rsid w:val="00854F3E"/>
    <w:rsid w:val="0085792E"/>
    <w:rsid w:val="00865ED7"/>
    <w:rsid w:val="00870241"/>
    <w:rsid w:val="00885A61"/>
    <w:rsid w:val="008861CA"/>
    <w:rsid w:val="008B23A7"/>
    <w:rsid w:val="008B58A0"/>
    <w:rsid w:val="008C1E62"/>
    <w:rsid w:val="008D119C"/>
    <w:rsid w:val="008E6E2E"/>
    <w:rsid w:val="008F02A4"/>
    <w:rsid w:val="008F0522"/>
    <w:rsid w:val="008F30CE"/>
    <w:rsid w:val="008F3D42"/>
    <w:rsid w:val="009006E4"/>
    <w:rsid w:val="00907975"/>
    <w:rsid w:val="00917A5C"/>
    <w:rsid w:val="00932D4F"/>
    <w:rsid w:val="009467E3"/>
    <w:rsid w:val="00951DB2"/>
    <w:rsid w:val="0095557A"/>
    <w:rsid w:val="00957310"/>
    <w:rsid w:val="00962B4B"/>
    <w:rsid w:val="00964850"/>
    <w:rsid w:val="00964CE7"/>
    <w:rsid w:val="00976452"/>
    <w:rsid w:val="0099411A"/>
    <w:rsid w:val="009A0206"/>
    <w:rsid w:val="009D2004"/>
    <w:rsid w:val="009D3CA9"/>
    <w:rsid w:val="009E01E7"/>
    <w:rsid w:val="009E4EE0"/>
    <w:rsid w:val="009F293A"/>
    <w:rsid w:val="009F2A38"/>
    <w:rsid w:val="009F5EDF"/>
    <w:rsid w:val="009F662C"/>
    <w:rsid w:val="00A0003C"/>
    <w:rsid w:val="00A04D9E"/>
    <w:rsid w:val="00A06869"/>
    <w:rsid w:val="00A07C14"/>
    <w:rsid w:val="00A11101"/>
    <w:rsid w:val="00A15789"/>
    <w:rsid w:val="00A15C0F"/>
    <w:rsid w:val="00A21BD7"/>
    <w:rsid w:val="00A24726"/>
    <w:rsid w:val="00A2622E"/>
    <w:rsid w:val="00A63DFC"/>
    <w:rsid w:val="00A715D1"/>
    <w:rsid w:val="00A80EE0"/>
    <w:rsid w:val="00A837A4"/>
    <w:rsid w:val="00AA101C"/>
    <w:rsid w:val="00AB6064"/>
    <w:rsid w:val="00AD0441"/>
    <w:rsid w:val="00AE300C"/>
    <w:rsid w:val="00AE716E"/>
    <w:rsid w:val="00AF0BB0"/>
    <w:rsid w:val="00AF143E"/>
    <w:rsid w:val="00B147C0"/>
    <w:rsid w:val="00B20BD2"/>
    <w:rsid w:val="00B20F28"/>
    <w:rsid w:val="00B213FF"/>
    <w:rsid w:val="00B21411"/>
    <w:rsid w:val="00B23C64"/>
    <w:rsid w:val="00B26C57"/>
    <w:rsid w:val="00B32683"/>
    <w:rsid w:val="00B449F9"/>
    <w:rsid w:val="00B4543C"/>
    <w:rsid w:val="00B464E3"/>
    <w:rsid w:val="00B61DBF"/>
    <w:rsid w:val="00B7286E"/>
    <w:rsid w:val="00B80240"/>
    <w:rsid w:val="00B8781E"/>
    <w:rsid w:val="00BA719C"/>
    <w:rsid w:val="00BB02B1"/>
    <w:rsid w:val="00BB1533"/>
    <w:rsid w:val="00BB3548"/>
    <w:rsid w:val="00BD3810"/>
    <w:rsid w:val="00BE2E71"/>
    <w:rsid w:val="00BF322E"/>
    <w:rsid w:val="00C2615E"/>
    <w:rsid w:val="00C34CE5"/>
    <w:rsid w:val="00C46CA6"/>
    <w:rsid w:val="00C51D97"/>
    <w:rsid w:val="00C525D1"/>
    <w:rsid w:val="00C528C5"/>
    <w:rsid w:val="00C638C1"/>
    <w:rsid w:val="00C6654E"/>
    <w:rsid w:val="00C832CF"/>
    <w:rsid w:val="00C86E41"/>
    <w:rsid w:val="00C9179F"/>
    <w:rsid w:val="00CD7DB6"/>
    <w:rsid w:val="00CE1F95"/>
    <w:rsid w:val="00CE5A53"/>
    <w:rsid w:val="00D10D84"/>
    <w:rsid w:val="00D17F54"/>
    <w:rsid w:val="00D33501"/>
    <w:rsid w:val="00D414EA"/>
    <w:rsid w:val="00D46843"/>
    <w:rsid w:val="00D50549"/>
    <w:rsid w:val="00D52C13"/>
    <w:rsid w:val="00D5634B"/>
    <w:rsid w:val="00D65136"/>
    <w:rsid w:val="00D709FC"/>
    <w:rsid w:val="00D73AD0"/>
    <w:rsid w:val="00D755F0"/>
    <w:rsid w:val="00D76CC8"/>
    <w:rsid w:val="00D8122F"/>
    <w:rsid w:val="00D821E6"/>
    <w:rsid w:val="00DD7153"/>
    <w:rsid w:val="00DE39C1"/>
    <w:rsid w:val="00DE4BC2"/>
    <w:rsid w:val="00E034C6"/>
    <w:rsid w:val="00E16FE9"/>
    <w:rsid w:val="00E53868"/>
    <w:rsid w:val="00E55169"/>
    <w:rsid w:val="00E63A56"/>
    <w:rsid w:val="00E640A2"/>
    <w:rsid w:val="00E651A1"/>
    <w:rsid w:val="00E657AF"/>
    <w:rsid w:val="00E76D6E"/>
    <w:rsid w:val="00E7741F"/>
    <w:rsid w:val="00E90B64"/>
    <w:rsid w:val="00E95A42"/>
    <w:rsid w:val="00EB685D"/>
    <w:rsid w:val="00ED766A"/>
    <w:rsid w:val="00EE5BDA"/>
    <w:rsid w:val="00EE7B9E"/>
    <w:rsid w:val="00EF0D58"/>
    <w:rsid w:val="00EF4C56"/>
    <w:rsid w:val="00F0716F"/>
    <w:rsid w:val="00F64A15"/>
    <w:rsid w:val="00F81FDB"/>
    <w:rsid w:val="00FA64D7"/>
    <w:rsid w:val="00FA678F"/>
    <w:rsid w:val="00FB1508"/>
    <w:rsid w:val="00FD1AD1"/>
    <w:rsid w:val="00FD4256"/>
    <w:rsid w:val="00FD5BBE"/>
    <w:rsid w:val="00FF36E3"/>
    <w:rsid w:val="00FF482E"/>
    <w:rsid w:val="03F97C93"/>
    <w:rsid w:val="151611DD"/>
    <w:rsid w:val="156E2D8E"/>
    <w:rsid w:val="2AB925A6"/>
    <w:rsid w:val="31A20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964CE7"/>
    <w:pPr>
      <w:spacing w:before="73"/>
      <w:ind w:left="102"/>
      <w:jc w:val="left"/>
    </w:pPr>
    <w:rPr>
      <w:rFonts w:ascii="宋体" w:hAnsi="宋体" w:cs="宋体"/>
      <w:kern w:val="0"/>
      <w:sz w:val="22"/>
      <w:szCs w:val="22"/>
    </w:rPr>
  </w:style>
  <w:style w:type="paragraph" w:styleId="a4">
    <w:name w:val="Balloon Text"/>
    <w:basedOn w:val="a"/>
    <w:link w:val="Char"/>
    <w:qFormat/>
    <w:rsid w:val="00964CE7"/>
    <w:rPr>
      <w:sz w:val="18"/>
      <w:szCs w:val="18"/>
    </w:rPr>
  </w:style>
  <w:style w:type="paragraph" w:styleId="a5">
    <w:name w:val="footer"/>
    <w:basedOn w:val="a"/>
    <w:link w:val="Char0"/>
    <w:qFormat/>
    <w:rsid w:val="00964CE7"/>
    <w:pPr>
      <w:tabs>
        <w:tab w:val="center" w:pos="4153"/>
        <w:tab w:val="right" w:pos="8306"/>
      </w:tabs>
      <w:snapToGrid w:val="0"/>
      <w:jc w:val="left"/>
    </w:pPr>
    <w:rPr>
      <w:sz w:val="18"/>
      <w:szCs w:val="18"/>
    </w:rPr>
  </w:style>
  <w:style w:type="paragraph" w:styleId="a6">
    <w:name w:val="header"/>
    <w:basedOn w:val="a"/>
    <w:link w:val="Char1"/>
    <w:qFormat/>
    <w:rsid w:val="00964CE7"/>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964C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脚 Char"/>
    <w:link w:val="a5"/>
    <w:rsid w:val="00964CE7"/>
    <w:rPr>
      <w:kern w:val="2"/>
      <w:sz w:val="18"/>
      <w:szCs w:val="18"/>
    </w:rPr>
  </w:style>
  <w:style w:type="character" w:customStyle="1" w:styleId="Char1">
    <w:name w:val="页眉 Char"/>
    <w:link w:val="a6"/>
    <w:qFormat/>
    <w:rsid w:val="00964CE7"/>
    <w:rPr>
      <w:kern w:val="2"/>
      <w:sz w:val="18"/>
      <w:szCs w:val="18"/>
    </w:rPr>
  </w:style>
  <w:style w:type="paragraph" w:customStyle="1" w:styleId="11">
    <w:name w:val="标题 11"/>
    <w:basedOn w:val="a"/>
    <w:qFormat/>
    <w:rsid w:val="00964CE7"/>
    <w:pPr>
      <w:spacing w:before="100" w:beforeAutospacing="1"/>
      <w:ind w:left="102"/>
      <w:jc w:val="left"/>
      <w:outlineLvl w:val="1"/>
    </w:pPr>
    <w:rPr>
      <w:rFonts w:ascii="宋体" w:hAnsi="宋体" w:cs="宋体"/>
      <w:b/>
      <w:bCs/>
      <w:kern w:val="0"/>
      <w:sz w:val="22"/>
      <w:szCs w:val="22"/>
    </w:rPr>
  </w:style>
  <w:style w:type="paragraph" w:customStyle="1" w:styleId="Default">
    <w:name w:val="Default"/>
    <w:qFormat/>
    <w:rsid w:val="00964CE7"/>
    <w:pPr>
      <w:widowControl w:val="0"/>
      <w:autoSpaceDE w:val="0"/>
      <w:autoSpaceDN w:val="0"/>
      <w:adjustRightInd w:val="0"/>
    </w:pPr>
    <w:rPr>
      <w:rFonts w:ascii="宋体" w:cs="宋体"/>
      <w:color w:val="000000"/>
      <w:sz w:val="24"/>
      <w:szCs w:val="24"/>
    </w:rPr>
  </w:style>
  <w:style w:type="character" w:customStyle="1" w:styleId="Char">
    <w:name w:val="批注框文本 Char"/>
    <w:link w:val="a4"/>
    <w:qFormat/>
    <w:rsid w:val="00964CE7"/>
    <w:rPr>
      <w:kern w:val="2"/>
      <w:sz w:val="18"/>
      <w:szCs w:val="18"/>
    </w:rPr>
  </w:style>
  <w:style w:type="paragraph" w:customStyle="1" w:styleId="1">
    <w:name w:val="修订1"/>
    <w:hidden/>
    <w:uiPriority w:val="99"/>
    <w:unhideWhenUsed/>
    <w:qFormat/>
    <w:rsid w:val="00964CE7"/>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2175</Characters>
  <Application>Microsoft Office Word</Application>
  <DocSecurity>0</DocSecurity>
  <Lines>18</Lines>
  <Paragraphs>5</Paragraphs>
  <ScaleCrop>false</ScaleCrop>
  <Company>Microsoft</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江西省农村信用社（农商银行）</dc:title>
  <dc:creator>Microsoft</dc:creator>
  <cp:lastModifiedBy>匿名用户</cp:lastModifiedBy>
  <cp:revision>8</cp:revision>
  <dcterms:created xsi:type="dcterms:W3CDTF">2019-03-21T08:48:00Z</dcterms:created>
  <dcterms:modified xsi:type="dcterms:W3CDTF">2019-09-10T03:07:00Z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