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auto"/>
        <w:ind w:firstLine="531" w:firstLineChars="147"/>
        <w:jc w:val="center"/>
        <w:rPr>
          <w:rFonts w:ascii="宋体"/>
          <w:b/>
          <w:color w:val="000000"/>
          <w:sz w:val="36"/>
          <w:szCs w:val="36"/>
        </w:rPr>
      </w:pPr>
      <w:r>
        <w:rPr>
          <w:rFonts w:hint="eastAsia" w:ascii="宋体" w:hAnsi="宋体"/>
          <w:b/>
          <w:color w:val="000000"/>
          <w:sz w:val="36"/>
          <w:szCs w:val="36"/>
        </w:rPr>
        <w:t>江西省农村信用社（农商银行）</w:t>
      </w:r>
    </w:p>
    <w:p>
      <w:pPr>
        <w:spacing w:line="700" w:lineRule="auto"/>
        <w:ind w:firstLine="531" w:firstLineChars="147"/>
        <w:jc w:val="center"/>
        <w:rPr>
          <w:rFonts w:ascii="宋体"/>
          <w:b/>
          <w:color w:val="000000"/>
          <w:sz w:val="36"/>
          <w:szCs w:val="36"/>
        </w:rPr>
      </w:pPr>
      <w:r>
        <w:rPr>
          <w:rFonts w:hint="eastAsia" w:ascii="宋体" w:hAnsi="宋体"/>
          <w:b/>
          <w:color w:val="000000"/>
          <w:sz w:val="36"/>
          <w:szCs w:val="36"/>
        </w:rPr>
        <w:t>理财产品风险揭示书</w:t>
      </w:r>
    </w:p>
    <w:p>
      <w:pPr>
        <w:spacing w:line="300" w:lineRule="auto"/>
        <w:rPr>
          <w:del w:id="0" w:author="匿名用户" w:date="2018-11-13T10:57:00Z"/>
          <w:rFonts w:ascii="宋体" w:cs="宋体"/>
          <w:color w:val="000000"/>
          <w:kern w:val="0"/>
          <w:sz w:val="24"/>
        </w:rPr>
      </w:pPr>
      <w:r>
        <w:rPr>
          <w:rFonts w:hint="eastAsia" w:ascii="宋体" w:hAnsi="宋体" w:cs="宋体"/>
          <w:color w:val="000000"/>
          <w:kern w:val="0"/>
          <w:sz w:val="24"/>
        </w:rPr>
        <w:t>产品名称：</w:t>
      </w:r>
      <w:r>
        <w:rPr>
          <w:rFonts w:hint="eastAsia" w:ascii="宋体" w:hAnsi="宋体" w:cs="宋体"/>
          <w:color w:val="000000"/>
          <w:kern w:val="0"/>
          <w:sz w:val="24"/>
          <w:u w:val="single"/>
        </w:rPr>
        <w:t>九江农商银行百福理</w:t>
      </w:r>
      <w:del w:id="1" w:author="匿名用户" w:date="2018-07-17T16:02:36Z">
        <w:r>
          <w:rPr>
            <w:rFonts w:hint="eastAsia" w:ascii="宋体" w:hAnsi="宋体" w:cs="宋体"/>
            <w:color w:val="000000"/>
            <w:kern w:val="0"/>
            <w:sz w:val="24"/>
            <w:u w:val="single"/>
          </w:rPr>
          <w:delText>财</w:delText>
        </w:r>
      </w:del>
      <w:del w:id="2" w:author="匿名用户" w:date="2018-07-17T16:02:28Z">
        <w:r>
          <w:rPr>
            <w:rFonts w:hint="eastAsia" w:ascii="宋体" w:hAnsi="宋体" w:cs="宋体"/>
            <w:color w:val="000000"/>
            <w:kern w:val="0"/>
            <w:sz w:val="24"/>
            <w:u w:val="single"/>
            <w:lang w:val="en-US"/>
          </w:rPr>
          <w:delText>福</w:delText>
        </w:r>
      </w:del>
      <w:ins w:id="3" w:author="匿名用户" w:date="2018-07-17T16:02:34Z">
        <w:r>
          <w:rPr>
            <w:rFonts w:hint="eastAsia" w:ascii="宋体" w:hAnsi="宋体" w:cs="宋体"/>
            <w:color w:val="000000"/>
            <w:kern w:val="0"/>
            <w:sz w:val="24"/>
            <w:u w:val="single"/>
            <w:lang w:val="en-US" w:eastAsia="zh-CN"/>
          </w:rPr>
          <w:t>禧</w:t>
        </w:r>
      </w:ins>
      <w:r>
        <w:rPr>
          <w:rFonts w:hint="eastAsia" w:ascii="宋体" w:hAnsi="宋体" w:cs="宋体"/>
          <w:color w:val="000000"/>
          <w:kern w:val="0"/>
          <w:sz w:val="24"/>
          <w:u w:val="single"/>
        </w:rPr>
        <w:t>临门系列</w:t>
      </w:r>
      <w:del w:id="4" w:author="匿名用户" w:date="2018-07-17T16:02:14Z">
        <w:r>
          <w:rPr>
            <w:rFonts w:hint="eastAsia" w:ascii="宋体" w:hAnsi="宋体" w:cs="宋体"/>
            <w:color w:val="000000"/>
            <w:kern w:val="0"/>
            <w:sz w:val="24"/>
            <w:szCs w:val="24"/>
            <w:u w:val="single"/>
            <w:lang w:val="en-US" w:eastAsia="zh-CN"/>
          </w:rPr>
          <w:delText>ZX11720180612006</w:delText>
        </w:r>
      </w:del>
      <w:del w:id="5" w:author="匿名用户" w:date="2018-09-26T15:27:11Z">
        <w:r>
          <w:rPr>
            <w:rFonts w:ascii="宋体" w:hAnsi="宋体" w:cs="宋体"/>
            <w:color w:val="000000"/>
            <w:kern w:val="0"/>
            <w:sz w:val="24"/>
          </w:rPr>
          <w:delText xml:space="preserve"> </w:delText>
        </w:r>
      </w:del>
    </w:p>
    <w:p>
      <w:pPr>
        <w:spacing w:line="300" w:lineRule="auto"/>
        <w:rPr>
          <w:ins w:id="6" w:author="匿名用户" w:date="2018-11-13T10:57:05Z"/>
          <w:rFonts w:hint="eastAsia" w:ascii="宋体" w:hAnsi="宋体" w:cs="宋体"/>
          <w:color w:val="000000"/>
          <w:kern w:val="0"/>
          <w:sz w:val="24"/>
          <w:szCs w:val="24"/>
          <w:u w:val="single"/>
          <w:lang w:val="en-US" w:eastAsia="zh-CN"/>
        </w:rPr>
      </w:pPr>
      <w:ins w:id="7" w:author="匿名用户" w:date="2018-11-27T15:42:09Z">
        <w:r>
          <w:rPr>
            <w:rFonts w:hint="eastAsia" w:ascii="宋体" w:hAnsi="宋体" w:cs="宋体"/>
            <w:color w:val="000000"/>
            <w:kern w:val="0"/>
            <w:sz w:val="24"/>
            <w:szCs w:val="24"/>
            <w:u w:val="single"/>
            <w:lang w:val="en-US" w:eastAsia="zh-CN"/>
          </w:rPr>
          <w:t>CG11720181212095</w:t>
        </w:r>
      </w:ins>
    </w:p>
    <w:p>
      <w:pPr>
        <w:spacing w:line="300" w:lineRule="auto"/>
        <w:rPr>
          <w:rFonts w:ascii="宋体" w:cs="宋体"/>
          <w:color w:val="000000"/>
          <w:kern w:val="0"/>
          <w:sz w:val="24"/>
        </w:rPr>
      </w:pPr>
      <w:r>
        <w:rPr>
          <w:rFonts w:hint="eastAsia" w:ascii="宋体" w:hAnsi="宋体" w:cs="宋体"/>
          <w:color w:val="000000"/>
          <w:kern w:val="0"/>
          <w:sz w:val="24"/>
        </w:rPr>
        <w:t>产品编号：</w:t>
      </w:r>
      <w:ins w:id="8" w:author="匿名用户" w:date="2018-11-27T15:42:09Z">
        <w:r>
          <w:rPr>
            <w:rFonts w:hint="eastAsia" w:ascii="宋体" w:hAnsi="宋体" w:cs="宋体"/>
            <w:color w:val="000000"/>
            <w:kern w:val="0"/>
            <w:sz w:val="24"/>
            <w:szCs w:val="24"/>
            <w:u w:val="single"/>
            <w:lang w:val="en-US" w:eastAsia="zh-CN"/>
          </w:rPr>
          <w:t>CG11720181212095</w:t>
        </w:r>
      </w:ins>
      <w:del w:id="9" w:author="匿名用户" w:date="2018-10-08T17:30:08Z">
        <w:r>
          <w:rPr>
            <w:rFonts w:hint="eastAsia" w:ascii="宋体" w:hAnsi="宋体" w:cs="宋体"/>
            <w:color w:val="000000"/>
            <w:kern w:val="0"/>
            <w:sz w:val="24"/>
            <w:szCs w:val="24"/>
            <w:u w:val="single"/>
            <w:lang w:val="en-US" w:eastAsia="zh-CN"/>
          </w:rPr>
          <w:delText>ZX11720180612006</w:delText>
        </w:r>
      </w:del>
      <w:r>
        <w:rPr>
          <w:rFonts w:hint="eastAsia" w:ascii="宋体" w:hAnsi="宋体" w:cs="宋体"/>
          <w:color w:val="000000"/>
          <w:kern w:val="0"/>
          <w:sz w:val="24"/>
          <w:u w:val="single"/>
        </w:rPr>
        <w:t>号</w:t>
      </w:r>
    </w:p>
    <w:p>
      <w:pPr>
        <w:spacing w:line="300" w:lineRule="auto"/>
        <w:rPr>
          <w:rFonts w:ascii="宋体"/>
          <w:sz w:val="24"/>
        </w:rPr>
      </w:pPr>
    </w:p>
    <w:p>
      <w:pPr>
        <w:snapToGrid w:val="0"/>
        <w:spacing w:line="300" w:lineRule="auto"/>
        <w:rPr>
          <w:rFonts w:ascii="宋体"/>
          <w:sz w:val="24"/>
        </w:rPr>
      </w:pPr>
      <w:r>
        <w:rPr>
          <w:rFonts w:hint="eastAsia" w:ascii="宋体" w:hAnsi="宋体"/>
          <w:sz w:val="24"/>
        </w:rPr>
        <w:t>尊敬的投资者：</w:t>
      </w:r>
    </w:p>
    <w:p>
      <w:pPr>
        <w:pStyle w:val="2"/>
        <w:snapToGrid w:val="0"/>
        <w:spacing w:before="0" w:line="300" w:lineRule="auto"/>
        <w:ind w:left="0" w:right="121" w:firstLine="480" w:firstLineChars="200"/>
        <w:jc w:val="both"/>
        <w:rPr>
          <w:spacing w:val="-1"/>
          <w:sz w:val="24"/>
          <w:szCs w:val="24"/>
        </w:rPr>
      </w:pPr>
      <w:r>
        <w:rPr>
          <w:rFonts w:hint="eastAsia"/>
          <w:sz w:val="24"/>
          <w:szCs w:val="24"/>
        </w:rPr>
        <w:t>由于理财资金管理运用过程中，可能会面临多种风险因素，因此，根据中国银行业监督</w:t>
      </w:r>
      <w:r>
        <w:rPr>
          <w:rFonts w:hint="eastAsia"/>
          <w:spacing w:val="-1"/>
          <w:sz w:val="24"/>
          <w:szCs w:val="24"/>
        </w:rPr>
        <w:t>管理委员会相关监管规定的要求，在您选择购买本理财计划前，请仔细阅读以下重要内容。</w:t>
      </w:r>
    </w:p>
    <w:p>
      <w:pPr>
        <w:pStyle w:val="14"/>
        <w:snapToGrid w:val="0"/>
        <w:spacing w:line="300" w:lineRule="auto"/>
        <w:rPr>
          <w:b/>
          <w:bCs/>
        </w:rPr>
      </w:pPr>
      <w:r>
        <w:rPr>
          <w:rFonts w:hint="eastAsia"/>
          <w:b/>
          <w:bCs/>
        </w:rPr>
        <w:t>一、江西省农村信用社（农商银行）在此郑重提示</w:t>
      </w:r>
    </w:p>
    <w:p>
      <w:pPr>
        <w:pStyle w:val="14"/>
        <w:snapToGrid w:val="0"/>
        <w:spacing w:line="300" w:lineRule="auto"/>
        <w:ind w:firstLine="480" w:firstLineChars="200"/>
      </w:pPr>
      <w:r>
        <w:t>1</w:t>
      </w:r>
      <w:r>
        <w:rPr>
          <w:rFonts w:hint="eastAsia"/>
        </w:rPr>
        <w:t>、</w:t>
      </w:r>
      <w:r>
        <w:rPr>
          <w:rFonts w:hint="eastAsia" w:hAnsi="宋体"/>
        </w:rPr>
        <w:t>本理财产品不同于银行存款，具有一定的风险，江西省农村信用社（农商银行）对理财本金与收益不承担保证责任。</w:t>
      </w:r>
    </w:p>
    <w:p>
      <w:pPr>
        <w:pStyle w:val="14"/>
        <w:snapToGrid w:val="0"/>
        <w:spacing w:line="300" w:lineRule="auto"/>
        <w:ind w:firstLine="480" w:firstLineChars="200"/>
      </w:pPr>
      <w:r>
        <w:t>2</w:t>
      </w:r>
      <w:r>
        <w:rPr>
          <w:rFonts w:hint="eastAsia"/>
        </w:rPr>
        <w:t>、在签署本理财计划的理财产品销售协议书前，请投资者仔细阅读本风险揭示书、本理财计划产品说明书和客户权益须知的全部内容，详细了解本理财产品的资金投资方向、风险类型及预期收益等具体情况；如对销售文件有任何疑问，请及时向我行各营业网点咨询。</w:t>
      </w:r>
    </w:p>
    <w:p>
      <w:pPr>
        <w:pStyle w:val="14"/>
        <w:snapToGrid w:val="0"/>
        <w:spacing w:line="300" w:lineRule="auto"/>
        <w:ind w:firstLine="480" w:firstLineChars="200"/>
      </w:pPr>
      <w:r>
        <w:t>3</w:t>
      </w:r>
      <w:r>
        <w:rPr>
          <w:rFonts w:hint="eastAsia"/>
        </w:rPr>
        <w:t>、请投资者投资本产品前，应充分了解本产品风险，包括理财本金与收益到期兑付风险、流动性风险、利率风险、提前终止风险、延期支付风险等，具体详见以下“风险提示”部分，确保完全明白此类投资的性质和所涉及的风险。</w:t>
      </w:r>
    </w:p>
    <w:p>
      <w:pPr>
        <w:pStyle w:val="14"/>
        <w:snapToGrid w:val="0"/>
        <w:spacing w:line="300" w:lineRule="auto"/>
        <w:ind w:firstLine="480" w:firstLineChars="200"/>
      </w:pPr>
      <w:r>
        <w:t>4</w:t>
      </w:r>
      <w:r>
        <w:rPr>
          <w:rFonts w:hint="eastAsia"/>
        </w:rPr>
        <w:t>、请投资者独立、自主、谨慎做出投资决策，购买与自身风险承受能力和资产管理需求匹配的理财产品。</w:t>
      </w:r>
    </w:p>
    <w:p>
      <w:pPr>
        <w:pStyle w:val="2"/>
        <w:snapToGrid w:val="0"/>
        <w:spacing w:before="0" w:line="300" w:lineRule="auto"/>
        <w:ind w:left="0" w:right="121" w:firstLine="480" w:firstLineChars="200"/>
        <w:jc w:val="both"/>
        <w:rPr>
          <w:spacing w:val="-1"/>
          <w:sz w:val="24"/>
          <w:szCs w:val="24"/>
        </w:rPr>
      </w:pPr>
      <w:r>
        <w:rPr>
          <w:sz w:val="24"/>
          <w:szCs w:val="24"/>
        </w:rPr>
        <w:t>5</w:t>
      </w:r>
      <w:r>
        <w:rPr>
          <w:rFonts w:hint="eastAsia"/>
          <w:sz w:val="24"/>
          <w:szCs w:val="24"/>
        </w:rPr>
        <w:t>、在购买理财产品后，投资者应随时关注该理财产品的信息披露情况，及时获取相关信息。</w:t>
      </w:r>
    </w:p>
    <w:p>
      <w:pPr>
        <w:pStyle w:val="2"/>
        <w:ind w:right="121" w:firstLine="476"/>
        <w:jc w:val="both"/>
        <w:rPr>
          <w:b/>
          <w:sz w:val="24"/>
          <w:szCs w:val="24"/>
        </w:rPr>
      </w:pPr>
      <w:r>
        <w:rPr>
          <w:rFonts w:hint="eastAsia"/>
          <w:spacing w:val="-1"/>
          <w:sz w:val="24"/>
          <w:szCs w:val="24"/>
        </w:rPr>
        <w:t>二、</w:t>
      </w:r>
      <w:r>
        <w:rPr>
          <w:rFonts w:hint="eastAsia"/>
          <w:b/>
          <w:sz w:val="24"/>
          <w:szCs w:val="24"/>
        </w:rPr>
        <w:t>理财非存款、产品有风险、投资须谨慎，投资者应充分认识以下风险</w:t>
      </w:r>
      <w:r>
        <w:rPr>
          <w:b/>
          <w:sz w:val="24"/>
          <w:szCs w:val="24"/>
        </w:rPr>
        <w:t xml:space="preserve"> </w:t>
      </w:r>
    </w:p>
    <w:p>
      <w:pPr>
        <w:pStyle w:val="14"/>
        <w:snapToGrid w:val="0"/>
        <w:spacing w:line="300" w:lineRule="auto"/>
        <w:ind w:firstLine="480" w:firstLineChars="200"/>
      </w:pPr>
      <w:r>
        <w:rPr>
          <w:color w:val="FF0000"/>
        </w:rPr>
        <w:t>1.</w:t>
      </w:r>
      <w:r>
        <w:rPr>
          <w:rFonts w:hint="eastAsia"/>
          <w:b/>
          <w:color w:val="FF0000"/>
        </w:rPr>
        <w:t>本金及理财收益风险</w:t>
      </w:r>
      <w:r>
        <w:rPr>
          <w:rFonts w:hint="eastAsia"/>
        </w:rPr>
        <w:t>：本理财计划不保障本金及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如果在理财期内，市场利率调整，本理财计划的收益率不随市场利率的调整而调整。</w:t>
      </w:r>
    </w:p>
    <w:p>
      <w:pPr>
        <w:pStyle w:val="14"/>
        <w:snapToGrid w:val="0"/>
        <w:spacing w:line="300" w:lineRule="auto"/>
        <w:ind w:firstLine="480" w:firstLineChars="200"/>
      </w:pPr>
      <w:r>
        <w:t>2.</w:t>
      </w:r>
      <w:r>
        <w:rPr>
          <w:rFonts w:hint="eastAsia"/>
          <w:b/>
        </w:rPr>
        <w:t>管理人风险</w:t>
      </w:r>
      <w:r>
        <w:rPr>
          <w:rFonts w:hint="eastAsia"/>
        </w:rPr>
        <w:t>：因管理人（包括本理财计划的投资管理人、所投资的信托计划</w:t>
      </w:r>
      <w:r>
        <w:t>/</w:t>
      </w:r>
      <w:r>
        <w:rPr>
          <w:rFonts w:hint="eastAsia"/>
        </w:rPr>
        <w:t>资管计划的受托人（如有）、相关投资顾问（如有）等，下同）受经验、技能等因素的限制，可能导致本理财计划项下的理财资金遭受损失。如因信托计划</w:t>
      </w:r>
      <w:r>
        <w:t>/</w:t>
      </w:r>
      <w:r>
        <w:rPr>
          <w:rFonts w:hint="eastAsia"/>
        </w:rPr>
        <w:t>资管计划的受托人和相关投资顾问违背相关协议约定、处理事务不当，可能导致本理财计划项下的理财资金遭受损失。</w:t>
      </w:r>
      <w:r>
        <w:t xml:space="preserve"> </w:t>
      </w:r>
    </w:p>
    <w:p>
      <w:pPr>
        <w:pStyle w:val="14"/>
        <w:snapToGrid w:val="0"/>
        <w:spacing w:line="300" w:lineRule="auto"/>
        <w:ind w:firstLine="480" w:firstLineChars="200"/>
      </w:pPr>
      <w:r>
        <w:t>3.</w:t>
      </w:r>
      <w:r>
        <w:rPr>
          <w:rFonts w:hint="eastAsia"/>
          <w:b/>
        </w:rPr>
        <w:t>政策风险</w:t>
      </w:r>
      <w:r>
        <w:rPr>
          <w:rFonts w:hint="eastAsia"/>
        </w:rPr>
        <w:t>：本理财计划是针对当前的相关法规和政策设计的。如国家宏观政策以及市场相关法规政策发生变化，可能影响理财计划的受理、投资、偿还等的正常进行，甚至导致本理财计划收益降低甚至本金损失。</w:t>
      </w:r>
      <w:r>
        <w:t xml:space="preserve"> </w:t>
      </w:r>
    </w:p>
    <w:p>
      <w:pPr>
        <w:pStyle w:val="14"/>
        <w:snapToGrid w:val="0"/>
        <w:spacing w:line="300" w:lineRule="auto"/>
        <w:ind w:firstLine="480" w:firstLineChars="200"/>
      </w:pPr>
      <w:r>
        <w:t>4.</w:t>
      </w:r>
      <w:r>
        <w:rPr>
          <w:rFonts w:hint="eastAsia"/>
          <w:b/>
        </w:rPr>
        <w:t>延期支付风险</w:t>
      </w:r>
      <w:r>
        <w:rPr>
          <w:rFonts w:hint="eastAsia"/>
        </w:rPr>
        <w:t>：如因理财计划项下资产组合变现等原因造成理财计划不能按时还本付息，理财期限将相应延长。</w:t>
      </w:r>
      <w:r>
        <w:t xml:space="preserve"> </w:t>
      </w:r>
    </w:p>
    <w:p>
      <w:pPr>
        <w:pStyle w:val="14"/>
        <w:snapToGrid w:val="0"/>
        <w:spacing w:line="300" w:lineRule="auto"/>
        <w:ind w:firstLine="480" w:firstLineChars="200"/>
      </w:pPr>
      <w:r>
        <w:t>5.</w:t>
      </w:r>
      <w:r>
        <w:rPr>
          <w:rFonts w:hint="eastAsia"/>
          <w:b/>
          <w:color w:val="FF0000"/>
        </w:rPr>
        <w:t>流动性风险</w:t>
      </w:r>
      <w:r>
        <w:rPr>
          <w:rFonts w:hint="eastAsia"/>
          <w:color w:val="FF0000"/>
        </w:rPr>
        <w:t>：</w:t>
      </w:r>
      <w:r>
        <w:rPr>
          <w:rFonts w:hint="eastAsia"/>
        </w:rPr>
        <w:t>在本理财计划存续期内，投资者不得赎回。</w:t>
      </w:r>
      <w:r>
        <w:t xml:space="preserve"> </w:t>
      </w:r>
    </w:p>
    <w:p>
      <w:pPr>
        <w:pStyle w:val="14"/>
        <w:snapToGrid w:val="0"/>
        <w:spacing w:line="300" w:lineRule="auto"/>
        <w:ind w:firstLine="480" w:firstLineChars="200"/>
      </w:pPr>
      <w:r>
        <w:t>6.</w:t>
      </w:r>
      <w:r>
        <w:rPr>
          <w:rFonts w:hint="eastAsia"/>
        </w:rPr>
        <w:t>提前终止</w:t>
      </w:r>
      <w:r>
        <w:rPr>
          <w:rFonts w:hint="eastAsia"/>
          <w:b/>
        </w:rPr>
        <w:t>风险</w:t>
      </w:r>
      <w:r>
        <w:rPr>
          <w:rFonts w:hint="eastAsia"/>
        </w:rPr>
        <w:t>：由于江西省农村信用社（农商银行）在特定情况下提前终止理财，则本理财计划的实际理财期可能小于预定期限。如果理财计划提前终止</w:t>
      </w:r>
      <w:r>
        <w:t>,</w:t>
      </w:r>
      <w:r>
        <w:rPr>
          <w:rFonts w:hint="eastAsia"/>
        </w:rPr>
        <w:t>则投资者将无法实现期初预期的全部收益。</w:t>
      </w:r>
    </w:p>
    <w:p>
      <w:pPr>
        <w:pStyle w:val="14"/>
        <w:snapToGrid w:val="0"/>
        <w:spacing w:line="300" w:lineRule="auto"/>
        <w:ind w:firstLine="480" w:firstLineChars="200"/>
      </w:pPr>
      <w:r>
        <w:t>7.</w:t>
      </w:r>
      <w:r>
        <w:rPr>
          <w:rFonts w:hint="eastAsia"/>
        </w:rPr>
        <w:t>利率风险：在产品存续期间，若中国人民银行调整人民币存贷款基准利率，则本产品的年化收益率有可能将因基准利率的调整而调整。</w:t>
      </w:r>
    </w:p>
    <w:p>
      <w:pPr>
        <w:pStyle w:val="14"/>
        <w:snapToGrid w:val="0"/>
        <w:spacing w:line="300" w:lineRule="auto"/>
        <w:ind w:firstLine="482" w:firstLineChars="200"/>
      </w:pPr>
      <w:r>
        <w:rPr>
          <w:b/>
        </w:rPr>
        <w:t>8</w:t>
      </w:r>
      <w:r>
        <w:rPr>
          <w:rFonts w:hint="eastAsia"/>
          <w:b/>
        </w:rPr>
        <w:t>、</w:t>
      </w:r>
      <w:r>
        <w:rPr>
          <w:rFonts w:hint="eastAsia"/>
          <w:b/>
          <w:color w:val="FF0000"/>
        </w:rPr>
        <w:t>信息传递风险</w:t>
      </w:r>
      <w:r>
        <w:rPr>
          <w:rFonts w:hint="eastAsia"/>
        </w:rPr>
        <w:t>：本理财计划存续期内不提供估值，不提供账单，投资者应根据本理财计划说明书所载明的公告方式及时查询本理财计划的相关信息。江西省农村信用社（农商银行）按照本说明书有关</w:t>
      </w:r>
      <w:r>
        <w:t>“</w:t>
      </w:r>
      <w:r>
        <w:rPr>
          <w:rFonts w:hint="eastAsia"/>
        </w:rPr>
        <w:t>信息公告</w:t>
      </w:r>
      <w:r>
        <w:t>”</w:t>
      </w:r>
      <w:r>
        <w:rPr>
          <w:rFonts w:hint="eastAsia"/>
        </w:rPr>
        <w:t>的约定，发布理财计划的信息公告。投资者应根据</w:t>
      </w:r>
      <w:r>
        <w:t>“</w:t>
      </w:r>
      <w:r>
        <w:rPr>
          <w:rFonts w:hint="eastAsia"/>
        </w:rPr>
        <w:t>信息公告</w:t>
      </w:r>
      <w:r>
        <w:t>”</w:t>
      </w:r>
      <w:r>
        <w:rPr>
          <w:rFonts w:hint="eastAsia"/>
        </w:rPr>
        <w:t>的约定及时登录江西省农村信用社（农商银行）网站或致电江西省农村信用社（农商银行）客户服务热线（</w:t>
      </w:r>
      <w:r>
        <w:t>96268</w:t>
      </w:r>
      <w:r>
        <w:rPr>
          <w:rFonts w:hint="eastAsia"/>
        </w:rPr>
        <w:t>）或到江西省农村信用社（农商银行）营业网点查询。如果投资者未及时查询，或由于通讯故障、系统故障以及其他不可抗力等因素的影响使得投资者无法及时了解产品信息，并由此影响投资者的投资决策，因此而产生的责任和风险由投资者自行承担；另外，投资者预留在江西省农村信用社（农商银行）的有效联系方式变更的，应及时通知江西省农村信用社（农商银行）。如投资者未及时告知江西省农村信用社（农商银行）联系方式变更的或因投资者其他原因导致江西省农村信用社（农商银行）在需要联系投资者时无法及时联系上，可能会由此影响投资者的投资决策，由此而产生的责任和风险由投资者自行承担。</w:t>
      </w:r>
      <w:r>
        <w:t xml:space="preserve"> </w:t>
      </w:r>
    </w:p>
    <w:p>
      <w:pPr>
        <w:pStyle w:val="14"/>
        <w:snapToGrid w:val="0"/>
        <w:spacing w:line="300" w:lineRule="auto"/>
        <w:ind w:firstLine="480" w:firstLineChars="200"/>
      </w:pPr>
      <w:r>
        <w:t>9.</w:t>
      </w:r>
      <w:r>
        <w:rPr>
          <w:rFonts w:hint="eastAsia"/>
          <w:b/>
          <w:color w:val="FF0000"/>
        </w:rPr>
        <w:t>理财计划不成立风险</w:t>
      </w:r>
      <w:r>
        <w:rPr>
          <w:rFonts w:hint="eastAsia"/>
        </w:rPr>
        <w:t>：如自本理财计划开始认购至理财计划原定成立日之前，理财计划认购总金额未达到规模下限（如有约定），或国家宏观政策以及市场相关法规政策发生变化，或市场发生剧烈波动，经江西省农村信用社（农商银行）合理判断难以按照本产品说明书规定向客户提供本理财计划，江西省农村信用社（农商银行）有权宣布该计划不成立。</w:t>
      </w:r>
      <w:r>
        <w:t xml:space="preserve"> </w:t>
      </w:r>
    </w:p>
    <w:p>
      <w:pPr>
        <w:pStyle w:val="14"/>
        <w:snapToGrid w:val="0"/>
        <w:spacing w:line="300" w:lineRule="auto"/>
        <w:ind w:firstLine="480" w:firstLineChars="200"/>
      </w:pPr>
      <w:r>
        <w:t>10.</w:t>
      </w:r>
      <w:r>
        <w:rPr>
          <w:rFonts w:hint="eastAsia"/>
          <w:b/>
        </w:rPr>
        <w:t>不可抗力风险</w:t>
      </w:r>
      <w:r>
        <w:rPr>
          <w:rFonts w:hint="eastAsia"/>
        </w:rPr>
        <w:t>：指由于自然灾害、战争等不可抗力因素的出现，将严重影响金融市场的正常运行，甚至影响理财计划的受理、投资、偿还等的正常进行，甚至导致本理财计划收益降低甚至本金损失。“不可抗力”是指交易各方不能合理控制、不可预见或即使预见亦无法避免的事件，该事件妨碍、影响或延误任何一方根据本产品说明履行其全部或部分义务，该事件包括但不限于地震、台风、洪水、水灾、其他天灾、战争、骚乱、罢工或其他类似事件、新法规颁布或对原法规的修改等政策因素。</w:t>
      </w:r>
    </w:p>
    <w:p>
      <w:pPr>
        <w:pStyle w:val="14"/>
        <w:snapToGrid w:val="0"/>
        <w:spacing w:line="300" w:lineRule="auto"/>
        <w:ind w:firstLine="480" w:firstLineChars="200"/>
      </w:pPr>
      <w:r>
        <w:t xml:space="preserve"> </w:t>
      </w:r>
    </w:p>
    <w:p>
      <w:pPr>
        <w:pStyle w:val="14"/>
        <w:snapToGrid w:val="0"/>
        <w:spacing w:line="300" w:lineRule="auto"/>
        <w:ind w:firstLine="480" w:firstLineChars="200"/>
        <w:rPr>
          <w:color w:val="auto"/>
        </w:rPr>
      </w:pPr>
      <w:r>
        <w:rPr>
          <w:rFonts w:hint="eastAsia"/>
          <w:color w:val="auto"/>
        </w:rPr>
        <w:t>本理财计划产品类型为</w:t>
      </w:r>
      <w:r>
        <w:rPr>
          <w:rFonts w:hint="eastAsia"/>
          <w:b/>
          <w:color w:val="auto"/>
        </w:rPr>
        <w:t>非</w:t>
      </w:r>
      <w:r>
        <w:rPr>
          <w:rFonts w:hint="eastAsia"/>
          <w:b/>
          <w:color w:val="000000" w:themeColor="text1"/>
        </w:rPr>
        <w:t>保本浮动收益型，理财计划期限为</w:t>
      </w:r>
      <w:del w:id="10" w:author="匿名用户" w:date="2018-11-27T15:42:15Z">
        <w:r>
          <w:rPr>
            <w:rFonts w:hint="eastAsia"/>
            <w:b/>
            <w:color w:val="000000" w:themeColor="text1"/>
            <w:lang w:val="en-US" w:eastAsia="zh-CN"/>
          </w:rPr>
          <w:delText>357</w:delText>
        </w:r>
      </w:del>
      <w:ins w:id="11" w:author="匿名用户" w:date="2018-11-27T15:42:15Z">
        <w:r>
          <w:rPr>
            <w:rFonts w:hint="eastAsia"/>
            <w:b/>
            <w:color w:val="000000" w:themeColor="text1"/>
            <w:lang w:val="en-US" w:eastAsia="zh-CN"/>
          </w:rPr>
          <w:t>8</w:t>
        </w:r>
      </w:ins>
      <w:ins w:id="12" w:author="匿名用户" w:date="2018-11-27T15:42:16Z">
        <w:r>
          <w:rPr>
            <w:rFonts w:hint="eastAsia"/>
            <w:b/>
            <w:color w:val="000000" w:themeColor="text1"/>
            <w:lang w:val="en-US" w:eastAsia="zh-CN"/>
          </w:rPr>
          <w:t>5</w:t>
        </w:r>
      </w:ins>
      <w:bookmarkStart w:id="0" w:name="_GoBack"/>
      <w:bookmarkEnd w:id="0"/>
      <w:r>
        <w:rPr>
          <w:rFonts w:hint="eastAsia"/>
          <w:b/>
          <w:color w:val="000000" w:themeColor="text1"/>
        </w:rPr>
        <w:t>天，风险评级为稳健型，适合购买客户为风险承受能力为稳健型及以上的客户。</w:t>
      </w:r>
      <w:r>
        <w:rPr>
          <w:rFonts w:hint="eastAsia"/>
          <w:color w:val="auto"/>
        </w:rPr>
        <w:t>如影响您风险承受能力的因素发生变化，请及时告知银行并重新进行风险承受能力评估。本风险分级为江西省农村信用社（农商银行）自行评定，仅供参考，江西省农村信用社（农商银行）并不对前述风险分级结果的准确性做出任何形式的保证。</w:t>
      </w:r>
    </w:p>
    <w:p>
      <w:pPr>
        <w:pStyle w:val="14"/>
        <w:snapToGrid w:val="0"/>
        <w:spacing w:line="300" w:lineRule="auto"/>
        <w:ind w:firstLine="480" w:firstLineChars="200"/>
        <w:rPr>
          <w:color w:val="auto"/>
        </w:rPr>
      </w:pPr>
      <w:r>
        <w:rPr>
          <w:rFonts w:hint="eastAsia"/>
          <w:color w:val="auto"/>
        </w:rPr>
        <w:t>本理财计划不保障本金及理财收益，投资者的本金可能会因市场变动而蒙受重大损失，在市场最不利的情况下投资者将可能损失全部本金，投资者应充分认识投资风险，谨慎投资。</w:t>
      </w:r>
      <w:r>
        <w:rPr>
          <w:color w:val="auto"/>
        </w:rPr>
        <w:t xml:space="preserve"> </w:t>
      </w:r>
    </w:p>
    <w:p>
      <w:pPr>
        <w:pStyle w:val="14"/>
        <w:snapToGrid w:val="0"/>
        <w:spacing w:line="300" w:lineRule="auto"/>
        <w:ind w:firstLine="482" w:firstLineChars="200"/>
        <w:rPr>
          <w:b/>
          <w:color w:val="auto"/>
        </w:rPr>
      </w:pPr>
      <w:r>
        <w:rPr>
          <w:rFonts w:hint="eastAsia"/>
          <w:b/>
          <w:color w:val="auto"/>
        </w:rPr>
        <w:t>示例</w:t>
      </w:r>
      <w:r>
        <w:rPr>
          <w:rFonts w:hint="eastAsia"/>
          <w:color w:val="auto"/>
        </w:rPr>
        <w:t>：</w:t>
      </w:r>
      <w:r>
        <w:rPr>
          <w:rFonts w:hint="eastAsia"/>
          <w:color w:val="FF0000"/>
        </w:rPr>
        <w:t>若投资者购买本理财计划，理财计划本金为</w:t>
      </w:r>
      <w:r>
        <w:rPr>
          <w:color w:val="FF0000"/>
        </w:rPr>
        <w:t>50000</w:t>
      </w:r>
      <w:r>
        <w:rPr>
          <w:rFonts w:hint="eastAsia"/>
          <w:color w:val="FF0000"/>
        </w:rPr>
        <w:t>元，理财计划预期最高到期年化收益率为</w:t>
      </w:r>
      <w:r>
        <w:rPr>
          <w:color w:val="FF0000"/>
        </w:rPr>
        <w:t>5.70</w:t>
      </w:r>
      <w:r>
        <w:rPr>
          <w:rFonts w:hint="eastAsia"/>
          <w:color w:val="FF0000"/>
        </w:rPr>
        <w:t>％，在资产组合项下资产全部亏损的最不利情况下，理财计划</w:t>
      </w:r>
      <w:r>
        <w:rPr>
          <w:color w:val="FF0000"/>
        </w:rPr>
        <w:t>50000</w:t>
      </w:r>
      <w:r>
        <w:rPr>
          <w:rFonts w:hint="eastAsia"/>
          <w:color w:val="FF0000"/>
        </w:rPr>
        <w:t>元本金将全部损失。</w:t>
      </w:r>
      <w:r>
        <w:rPr>
          <w:rFonts w:hint="eastAsia"/>
          <w:b/>
          <w:color w:val="auto"/>
        </w:rPr>
        <w:t>）</w:t>
      </w:r>
      <w:r>
        <w:rPr>
          <w:b/>
          <w:color w:val="auto"/>
        </w:rPr>
        <w:t xml:space="preserve"> </w:t>
      </w:r>
    </w:p>
    <w:p>
      <w:pPr>
        <w:pStyle w:val="14"/>
        <w:snapToGrid w:val="0"/>
        <w:spacing w:line="300" w:lineRule="auto"/>
        <w:ind w:firstLine="482" w:firstLineChars="200"/>
        <w:rPr>
          <w:b/>
          <w:color w:val="auto"/>
        </w:rPr>
      </w:pPr>
    </w:p>
    <w:p>
      <w:pPr>
        <w:pStyle w:val="14"/>
        <w:snapToGrid w:val="0"/>
        <w:spacing w:line="300" w:lineRule="auto"/>
        <w:ind w:firstLine="480" w:firstLineChars="200"/>
      </w:pPr>
      <w:r>
        <w:rPr>
          <w:rFonts w:hint="eastAsia"/>
        </w:rPr>
        <w:t>在您签署本理财计划的理财产品销售协议书前，应当仔细阅读本风险揭示书、本理财计划产品说明书和客户权益须知的全部内容，同时向我行了解本理财计划的其他相关信息，并自己独立作出是否认购本理财计划的决定。您签署本揭示书、理财产品销售协议书并将资金委托给我行运作是您真实的意思表示，您已知悉并理解理财计划的全部风险，并自愿承担由此带来的一切后果。本风险揭示书及相应理财产品销售协议书、理财计划产品说明书、客户权益须知将共同构成贵我双方理财合同的有效组成部分。</w:t>
      </w:r>
      <w:r>
        <w:t xml:space="preserve"> </w:t>
      </w:r>
    </w:p>
    <w:p>
      <w:pPr>
        <w:pStyle w:val="14"/>
        <w:snapToGrid w:val="0"/>
        <w:spacing w:line="300" w:lineRule="auto"/>
        <w:rPr>
          <w:b/>
          <w:sz w:val="28"/>
          <w:szCs w:val="28"/>
        </w:rPr>
      </w:pPr>
      <w:r>
        <w:rPr>
          <w:b/>
          <w:sz w:val="28"/>
          <w:szCs w:val="28"/>
        </w:rPr>
        <w:t xml:space="preserve">                    </w:t>
      </w:r>
      <w:r>
        <w:rPr>
          <w:rFonts w:hint="eastAsia"/>
          <w:b/>
          <w:sz w:val="28"/>
          <w:szCs w:val="28"/>
        </w:rPr>
        <w:t>风险揭示方：江西省农村信用社（农商银行）</w:t>
      </w:r>
    </w:p>
    <w:p>
      <w:pPr>
        <w:pStyle w:val="14"/>
        <w:snapToGrid w:val="0"/>
        <w:spacing w:line="300" w:lineRule="auto"/>
        <w:rPr>
          <w:b/>
          <w:sz w:val="28"/>
          <w:szCs w:val="28"/>
        </w:rPr>
      </w:pPr>
    </w:p>
    <w:p>
      <w:pPr>
        <w:pStyle w:val="14"/>
        <w:snapToGrid w:val="0"/>
        <w:spacing w:line="300" w:lineRule="auto"/>
        <w:rPr>
          <w:b/>
        </w:rPr>
      </w:pPr>
    </w:p>
    <w:p>
      <w:pPr>
        <w:pStyle w:val="14"/>
        <w:snapToGrid w:val="0"/>
        <w:spacing w:line="300" w:lineRule="auto"/>
        <w:rPr>
          <w:b/>
        </w:rPr>
      </w:pPr>
      <w:r>
        <w:rPr>
          <w:rFonts w:hint="eastAsia"/>
          <w:b/>
        </w:rPr>
        <w:t>投资者确认如下：</w:t>
      </w:r>
      <w:r>
        <w:rPr>
          <w:b/>
        </w:rPr>
        <w:t xml:space="preserve"> </w:t>
      </w:r>
    </w:p>
    <w:p>
      <w:pPr>
        <w:pStyle w:val="14"/>
        <w:snapToGrid w:val="0"/>
        <w:spacing w:line="300" w:lineRule="auto"/>
        <w:rPr>
          <w:b/>
        </w:rPr>
      </w:pPr>
      <w:r>
        <w:rPr>
          <w:rFonts w:hint="eastAsia"/>
        </w:rPr>
        <w:t>投资者风险承受能力评级为：</w:t>
      </w:r>
      <w:r>
        <w:rPr>
          <w:rFonts w:hint="eastAsia"/>
          <w:b/>
        </w:rPr>
        <w:t>□</w:t>
      </w:r>
      <w:r>
        <w:rPr>
          <w:rFonts w:hint="eastAsia" w:ascii="仿宋_GB2312" w:hAnsi="仿宋_GB2312" w:eastAsia="仿宋_GB2312"/>
        </w:rPr>
        <w:t>保守型</w:t>
      </w:r>
      <w:r>
        <w:rPr>
          <w:rFonts w:ascii="仿宋_GB2312" w:hAnsi="仿宋_GB2312" w:eastAsia="仿宋_GB2312"/>
        </w:rPr>
        <w:t xml:space="preserve"> </w:t>
      </w:r>
      <w:r>
        <w:rPr>
          <w:rFonts w:hint="eastAsia"/>
          <w:b/>
        </w:rPr>
        <w:t>□</w:t>
      </w:r>
      <w:r>
        <w:rPr>
          <w:rFonts w:hint="eastAsia" w:ascii="仿宋_GB2312" w:hAnsi="仿宋_GB2312" w:eastAsia="仿宋_GB2312"/>
        </w:rPr>
        <w:t>稳健型</w:t>
      </w:r>
      <w:r>
        <w:rPr>
          <w:rFonts w:ascii="仿宋_GB2312" w:hAnsi="仿宋_GB2312" w:eastAsia="仿宋_GB2312"/>
        </w:rPr>
        <w:t xml:space="preserve"> </w:t>
      </w:r>
      <w:r>
        <w:rPr>
          <w:rFonts w:hint="eastAsia"/>
          <w:b/>
        </w:rPr>
        <w:t>□</w:t>
      </w:r>
      <w:r>
        <w:rPr>
          <w:rFonts w:hint="eastAsia" w:ascii="仿宋_GB2312" w:hAnsi="仿宋_GB2312" w:eastAsia="仿宋_GB2312"/>
        </w:rPr>
        <w:t>平衡型</w:t>
      </w:r>
      <w:r>
        <w:rPr>
          <w:rFonts w:ascii="仿宋_GB2312" w:hAnsi="仿宋_GB2312" w:eastAsia="仿宋_GB2312"/>
        </w:rPr>
        <w:t xml:space="preserve"> </w:t>
      </w:r>
      <w:r>
        <w:rPr>
          <w:rFonts w:hint="eastAsia"/>
          <w:b/>
        </w:rPr>
        <w:t>□</w:t>
      </w:r>
      <w:r>
        <w:rPr>
          <w:rFonts w:hint="eastAsia" w:ascii="仿宋_GB2312" w:hAnsi="仿宋_GB2312" w:eastAsia="仿宋_GB2312"/>
        </w:rPr>
        <w:t>成长型</w:t>
      </w:r>
      <w:r>
        <w:rPr>
          <w:rFonts w:ascii="仿宋_GB2312" w:hAnsi="仿宋_GB2312" w:eastAsia="仿宋_GB2312"/>
        </w:rPr>
        <w:t xml:space="preserve"> </w:t>
      </w:r>
      <w:r>
        <w:rPr>
          <w:rFonts w:hint="eastAsia"/>
          <w:b/>
        </w:rPr>
        <w:t>□</w:t>
      </w:r>
      <w:r>
        <w:rPr>
          <w:rFonts w:hint="eastAsia" w:ascii="仿宋_GB2312" w:hAnsi="仿宋_GB2312" w:eastAsia="仿宋_GB2312"/>
        </w:rPr>
        <w:t>进取型</w:t>
      </w:r>
    </w:p>
    <w:p>
      <w:pPr>
        <w:pStyle w:val="14"/>
        <w:snapToGrid w:val="0"/>
        <w:spacing w:line="300" w:lineRule="auto"/>
      </w:pPr>
      <w:r>
        <w:rPr>
          <w:rFonts w:hint="eastAsia"/>
        </w:rPr>
        <w:t>（客户需全文抄录以下文字以完成确认：</w:t>
      </w:r>
      <w:r>
        <w:rPr>
          <w:rFonts w:hint="eastAsia"/>
          <w:b/>
        </w:rPr>
        <w:t>本人已经阅读风险揭示，自愿购买本理财产品，并愿意承担投资风险及后果</w:t>
      </w:r>
      <w:r>
        <w:rPr>
          <w:rFonts w:hint="eastAsia"/>
        </w:rPr>
        <w:t>。）</w:t>
      </w:r>
      <w:r>
        <w:t xml:space="preserve"> </w:t>
      </w:r>
    </w:p>
    <w:p>
      <w:pPr>
        <w:pStyle w:val="2"/>
        <w:snapToGrid w:val="0"/>
        <w:spacing w:before="0" w:line="300" w:lineRule="auto"/>
        <w:ind w:left="101" w:leftChars="48" w:right="121" w:firstLine="240" w:firstLineChars="100"/>
        <w:jc w:val="both"/>
        <w:rPr>
          <w:sz w:val="24"/>
          <w:szCs w:val="24"/>
        </w:rPr>
      </w:pPr>
      <w:r>
        <w:rPr>
          <w:rFonts w:hint="eastAsia"/>
          <w:sz w:val="24"/>
          <w:szCs w:val="24"/>
        </w:rPr>
        <w:t>＿＿＿＿＿＿＿＿＿＿＿＿＿＿＿＿＿＿＿＿＿＿＿＿＿＿＿＿＿＿</w:t>
      </w:r>
    </w:p>
    <w:p>
      <w:pPr>
        <w:pStyle w:val="2"/>
        <w:snapToGrid w:val="0"/>
        <w:spacing w:before="0" w:line="300" w:lineRule="auto"/>
        <w:ind w:left="101" w:leftChars="48" w:right="121"/>
        <w:jc w:val="both"/>
        <w:rPr>
          <w:sz w:val="24"/>
          <w:szCs w:val="24"/>
        </w:rPr>
      </w:pPr>
    </w:p>
    <w:p>
      <w:pPr>
        <w:pStyle w:val="2"/>
        <w:snapToGrid w:val="0"/>
        <w:spacing w:before="0" w:line="300" w:lineRule="auto"/>
        <w:ind w:left="103" w:leftChars="49" w:right="121" w:firstLine="5356" w:firstLineChars="2232"/>
        <w:jc w:val="both"/>
        <w:rPr>
          <w:sz w:val="24"/>
          <w:szCs w:val="24"/>
        </w:rPr>
      </w:pPr>
      <w:r>
        <w:rPr>
          <w:rFonts w:hint="eastAsia"/>
          <w:sz w:val="24"/>
          <w:szCs w:val="24"/>
        </w:rPr>
        <w:t>投资者（签章）：</w:t>
      </w:r>
    </w:p>
    <w:p>
      <w:pPr>
        <w:pStyle w:val="2"/>
        <w:snapToGrid w:val="0"/>
        <w:spacing w:before="0" w:line="300" w:lineRule="auto"/>
        <w:ind w:left="0" w:right="121" w:firstLine="5520" w:firstLineChars="2300"/>
        <w:jc w:val="both"/>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ËÎÌå">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533"/>
    <w:rsid w:val="00003097"/>
    <w:rsid w:val="00013B67"/>
    <w:rsid w:val="00021D1B"/>
    <w:rsid w:val="00021FD2"/>
    <w:rsid w:val="00040F3A"/>
    <w:rsid w:val="00045533"/>
    <w:rsid w:val="000472A8"/>
    <w:rsid w:val="00050F76"/>
    <w:rsid w:val="00060ABA"/>
    <w:rsid w:val="0006330C"/>
    <w:rsid w:val="00095121"/>
    <w:rsid w:val="000C64EC"/>
    <w:rsid w:val="000E356A"/>
    <w:rsid w:val="00112013"/>
    <w:rsid w:val="001434DA"/>
    <w:rsid w:val="00154A8B"/>
    <w:rsid w:val="00166DCC"/>
    <w:rsid w:val="00176331"/>
    <w:rsid w:val="00180C52"/>
    <w:rsid w:val="001A0213"/>
    <w:rsid w:val="001A1D5C"/>
    <w:rsid w:val="001A1EA1"/>
    <w:rsid w:val="001A3CDD"/>
    <w:rsid w:val="001B088B"/>
    <w:rsid w:val="001F0B72"/>
    <w:rsid w:val="002036B3"/>
    <w:rsid w:val="00224DF8"/>
    <w:rsid w:val="00227348"/>
    <w:rsid w:val="00231B2F"/>
    <w:rsid w:val="002413C2"/>
    <w:rsid w:val="00242964"/>
    <w:rsid w:val="002642BE"/>
    <w:rsid w:val="00266BFA"/>
    <w:rsid w:val="00277500"/>
    <w:rsid w:val="00296258"/>
    <w:rsid w:val="002A48A7"/>
    <w:rsid w:val="002C6632"/>
    <w:rsid w:val="002E6CD0"/>
    <w:rsid w:val="00300F07"/>
    <w:rsid w:val="003074EC"/>
    <w:rsid w:val="003158DA"/>
    <w:rsid w:val="003375E9"/>
    <w:rsid w:val="0034156C"/>
    <w:rsid w:val="003434C8"/>
    <w:rsid w:val="00345696"/>
    <w:rsid w:val="0035304B"/>
    <w:rsid w:val="00354586"/>
    <w:rsid w:val="003548CD"/>
    <w:rsid w:val="00361013"/>
    <w:rsid w:val="00371E59"/>
    <w:rsid w:val="00397A54"/>
    <w:rsid w:val="003A6508"/>
    <w:rsid w:val="003B028C"/>
    <w:rsid w:val="003B19BE"/>
    <w:rsid w:val="003C29B0"/>
    <w:rsid w:val="003C454D"/>
    <w:rsid w:val="00405C4E"/>
    <w:rsid w:val="004124D5"/>
    <w:rsid w:val="0041598F"/>
    <w:rsid w:val="00434ADA"/>
    <w:rsid w:val="00435184"/>
    <w:rsid w:val="004551B3"/>
    <w:rsid w:val="00462621"/>
    <w:rsid w:val="0048345D"/>
    <w:rsid w:val="004A62FD"/>
    <w:rsid w:val="004C2416"/>
    <w:rsid w:val="004F6F0E"/>
    <w:rsid w:val="005058B2"/>
    <w:rsid w:val="00511068"/>
    <w:rsid w:val="00516EC0"/>
    <w:rsid w:val="00523622"/>
    <w:rsid w:val="00534A58"/>
    <w:rsid w:val="005352F0"/>
    <w:rsid w:val="005859A1"/>
    <w:rsid w:val="0058617C"/>
    <w:rsid w:val="005A4A0C"/>
    <w:rsid w:val="005A4FDE"/>
    <w:rsid w:val="005B327E"/>
    <w:rsid w:val="005C00B8"/>
    <w:rsid w:val="005C74BB"/>
    <w:rsid w:val="005D1897"/>
    <w:rsid w:val="005E76FA"/>
    <w:rsid w:val="005E7E6E"/>
    <w:rsid w:val="00607381"/>
    <w:rsid w:val="006121F0"/>
    <w:rsid w:val="0064315B"/>
    <w:rsid w:val="00643F7A"/>
    <w:rsid w:val="006565BC"/>
    <w:rsid w:val="0066537A"/>
    <w:rsid w:val="006A1742"/>
    <w:rsid w:val="006A1FBB"/>
    <w:rsid w:val="006C2C1A"/>
    <w:rsid w:val="0071035D"/>
    <w:rsid w:val="00711259"/>
    <w:rsid w:val="0073791B"/>
    <w:rsid w:val="00746F93"/>
    <w:rsid w:val="007C503A"/>
    <w:rsid w:val="007C646A"/>
    <w:rsid w:val="007D696F"/>
    <w:rsid w:val="007E4A81"/>
    <w:rsid w:val="007E4EDC"/>
    <w:rsid w:val="008167CF"/>
    <w:rsid w:val="008168CC"/>
    <w:rsid w:val="008243C9"/>
    <w:rsid w:val="0084470F"/>
    <w:rsid w:val="0085379F"/>
    <w:rsid w:val="00854A87"/>
    <w:rsid w:val="008735C6"/>
    <w:rsid w:val="00875A38"/>
    <w:rsid w:val="00893B76"/>
    <w:rsid w:val="008F45A6"/>
    <w:rsid w:val="009025CC"/>
    <w:rsid w:val="00906B8C"/>
    <w:rsid w:val="009156F0"/>
    <w:rsid w:val="009409F8"/>
    <w:rsid w:val="00951DB2"/>
    <w:rsid w:val="0095557A"/>
    <w:rsid w:val="00960521"/>
    <w:rsid w:val="00967AC8"/>
    <w:rsid w:val="009C11B2"/>
    <w:rsid w:val="009F293A"/>
    <w:rsid w:val="00A15C0F"/>
    <w:rsid w:val="00A73554"/>
    <w:rsid w:val="00A81BAD"/>
    <w:rsid w:val="00A837A4"/>
    <w:rsid w:val="00A90EC5"/>
    <w:rsid w:val="00AA627E"/>
    <w:rsid w:val="00AB6064"/>
    <w:rsid w:val="00AD0441"/>
    <w:rsid w:val="00AE2EF1"/>
    <w:rsid w:val="00AF0971"/>
    <w:rsid w:val="00AF7FFB"/>
    <w:rsid w:val="00B4543C"/>
    <w:rsid w:val="00B50FBF"/>
    <w:rsid w:val="00B61F5E"/>
    <w:rsid w:val="00B63E9B"/>
    <w:rsid w:val="00B8024D"/>
    <w:rsid w:val="00B850CB"/>
    <w:rsid w:val="00B90FF4"/>
    <w:rsid w:val="00BA53CC"/>
    <w:rsid w:val="00BA689D"/>
    <w:rsid w:val="00BA704F"/>
    <w:rsid w:val="00BB0CA6"/>
    <w:rsid w:val="00BB14AB"/>
    <w:rsid w:val="00BC6131"/>
    <w:rsid w:val="00C33505"/>
    <w:rsid w:val="00C376B2"/>
    <w:rsid w:val="00C423D3"/>
    <w:rsid w:val="00C51C7A"/>
    <w:rsid w:val="00C528C5"/>
    <w:rsid w:val="00C75E54"/>
    <w:rsid w:val="00C9586D"/>
    <w:rsid w:val="00CA4725"/>
    <w:rsid w:val="00CA6652"/>
    <w:rsid w:val="00CC115F"/>
    <w:rsid w:val="00D35734"/>
    <w:rsid w:val="00D43126"/>
    <w:rsid w:val="00D50549"/>
    <w:rsid w:val="00D76CC8"/>
    <w:rsid w:val="00D8122F"/>
    <w:rsid w:val="00DA46EC"/>
    <w:rsid w:val="00DB4EA3"/>
    <w:rsid w:val="00DC493A"/>
    <w:rsid w:val="00DD7153"/>
    <w:rsid w:val="00DE1C52"/>
    <w:rsid w:val="00E14133"/>
    <w:rsid w:val="00E276AA"/>
    <w:rsid w:val="00E42F8E"/>
    <w:rsid w:val="00E47D42"/>
    <w:rsid w:val="00E53868"/>
    <w:rsid w:val="00E754E4"/>
    <w:rsid w:val="00E84AA7"/>
    <w:rsid w:val="00E84EEF"/>
    <w:rsid w:val="00E85320"/>
    <w:rsid w:val="00E949D4"/>
    <w:rsid w:val="00E95454"/>
    <w:rsid w:val="00EA604A"/>
    <w:rsid w:val="00ED15EF"/>
    <w:rsid w:val="00ED2FAD"/>
    <w:rsid w:val="00ED5DEF"/>
    <w:rsid w:val="00EE2495"/>
    <w:rsid w:val="00EE520F"/>
    <w:rsid w:val="00F057DA"/>
    <w:rsid w:val="00F16AFE"/>
    <w:rsid w:val="00F207FA"/>
    <w:rsid w:val="00F26612"/>
    <w:rsid w:val="00F6744A"/>
    <w:rsid w:val="00F76F19"/>
    <w:rsid w:val="00F930BE"/>
    <w:rsid w:val="00FB1A63"/>
    <w:rsid w:val="00FB66E1"/>
    <w:rsid w:val="03F97C93"/>
    <w:rsid w:val="04102479"/>
    <w:rsid w:val="091C572F"/>
    <w:rsid w:val="1063470C"/>
    <w:rsid w:val="151611DD"/>
    <w:rsid w:val="153B2DFF"/>
    <w:rsid w:val="1E0A4EE6"/>
    <w:rsid w:val="1ECF67AB"/>
    <w:rsid w:val="1EE14092"/>
    <w:rsid w:val="246C445C"/>
    <w:rsid w:val="2AB925A6"/>
    <w:rsid w:val="2D370B79"/>
    <w:rsid w:val="2FA74E7A"/>
    <w:rsid w:val="31A20D79"/>
    <w:rsid w:val="35353C92"/>
    <w:rsid w:val="35BE67EC"/>
    <w:rsid w:val="381E1CA5"/>
    <w:rsid w:val="39F06F2E"/>
    <w:rsid w:val="3A2564D4"/>
    <w:rsid w:val="3A94200B"/>
    <w:rsid w:val="50581A9C"/>
    <w:rsid w:val="53F56200"/>
    <w:rsid w:val="56D53289"/>
    <w:rsid w:val="5AB846F1"/>
    <w:rsid w:val="5D3F226A"/>
    <w:rsid w:val="6BBB310E"/>
    <w:rsid w:val="6F4404D1"/>
    <w:rsid w:val="6FE931D3"/>
    <w:rsid w:val="73D869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before="73"/>
      <w:ind w:left="102"/>
      <w:jc w:val="left"/>
    </w:pPr>
    <w:rPr>
      <w:rFonts w:ascii="宋体" w:hAnsi="宋体" w:cs="宋体"/>
      <w:kern w:val="0"/>
      <w:sz w:val="22"/>
      <w:szCs w:val="22"/>
    </w:rPr>
  </w:style>
  <w:style w:type="paragraph" w:styleId="3">
    <w:name w:val="Balloon Text"/>
    <w:basedOn w:val="1"/>
    <w:link w:val="15"/>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20"/>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20"/>
    </w:rPr>
  </w:style>
  <w:style w:type="character" w:customStyle="1" w:styleId="8">
    <w:name w:val="Footer Char"/>
    <w:qFormat/>
    <w:locked/>
    <w:uiPriority w:val="99"/>
    <w:rPr>
      <w:kern w:val="2"/>
      <w:sz w:val="18"/>
    </w:rPr>
  </w:style>
  <w:style w:type="character" w:customStyle="1" w:styleId="9">
    <w:name w:val="Header Char"/>
    <w:qFormat/>
    <w:locked/>
    <w:uiPriority w:val="99"/>
    <w:rPr>
      <w:kern w:val="2"/>
      <w:sz w:val="18"/>
    </w:rPr>
  </w:style>
  <w:style w:type="character" w:customStyle="1" w:styleId="10">
    <w:name w:val="正文文本 Char"/>
    <w:basedOn w:val="6"/>
    <w:link w:val="2"/>
    <w:semiHidden/>
    <w:qFormat/>
    <w:locked/>
    <w:uiPriority w:val="99"/>
    <w:rPr>
      <w:rFonts w:cs="Times New Roman"/>
      <w:sz w:val="24"/>
      <w:szCs w:val="24"/>
    </w:rPr>
  </w:style>
  <w:style w:type="character" w:customStyle="1" w:styleId="11">
    <w:name w:val="页脚 Char"/>
    <w:basedOn w:val="6"/>
    <w:link w:val="4"/>
    <w:semiHidden/>
    <w:qFormat/>
    <w:locked/>
    <w:uiPriority w:val="99"/>
    <w:rPr>
      <w:rFonts w:cs="Times New Roman"/>
      <w:sz w:val="18"/>
      <w:szCs w:val="18"/>
    </w:rPr>
  </w:style>
  <w:style w:type="paragraph" w:customStyle="1" w:styleId="12">
    <w:name w:val="Heading 11"/>
    <w:basedOn w:val="1"/>
    <w:qFormat/>
    <w:uiPriority w:val="99"/>
    <w:pPr>
      <w:spacing w:before="100" w:beforeAutospacing="1"/>
      <w:ind w:left="102"/>
      <w:jc w:val="left"/>
      <w:outlineLvl w:val="1"/>
    </w:pPr>
    <w:rPr>
      <w:rFonts w:ascii="宋体" w:hAnsi="宋体" w:cs="宋体"/>
      <w:b/>
      <w:bCs/>
      <w:kern w:val="0"/>
      <w:sz w:val="22"/>
      <w:szCs w:val="22"/>
    </w:rPr>
  </w:style>
  <w:style w:type="character" w:customStyle="1" w:styleId="13">
    <w:name w:val="页眉 Char"/>
    <w:basedOn w:val="6"/>
    <w:link w:val="5"/>
    <w:semiHidden/>
    <w:qFormat/>
    <w:locked/>
    <w:uiPriority w:val="99"/>
    <w:rPr>
      <w:rFonts w:cs="Times New Roman"/>
      <w:sz w:val="18"/>
      <w:szCs w:val="18"/>
    </w:rPr>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批注框文本 Char"/>
    <w:basedOn w:val="6"/>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2812</Words>
  <Characters>2869</Characters>
  <Lines>21</Lines>
  <Paragraphs>5</Paragraphs>
  <TotalTime>0</TotalTime>
  <ScaleCrop>false</ScaleCrop>
  <LinksUpToDate>false</LinksUpToDate>
  <CharactersWithSpaces>2914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2015-11-12T06:43:00Z</dcterms:created>
  <dc:creator>Microsoft</dc:creator>
  <cp:lastModifiedBy>匿名用户</cp:lastModifiedBy>
  <cp:lastPrinted>2016-03-14T07:19:00Z</cp:lastPrinted>
  <dcterms:modified xsi:type="dcterms:W3CDTF">2018-11-27T07:42:17Z</dcterms:modified>
  <dc:title>江西省农村信用社（农商银行）</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