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outlineLvl w:val="1"/>
        <w:rPr>
          <w:rFonts w:hint="eastAsia" w:ascii="方正大标宋简体" w:hAnsi="方正大标宋简体" w:eastAsia="方正大标宋简体" w:cs="方正大标宋简体"/>
          <w:b w:val="0"/>
          <w:bCs/>
          <w:kern w:val="36"/>
          <w:sz w:val="44"/>
          <w:szCs w:val="44"/>
        </w:rPr>
      </w:pPr>
      <w:r>
        <w:rPr>
          <w:rFonts w:hint="eastAsia" w:ascii="方正大标宋简体" w:hAnsi="方正大标宋简体" w:eastAsia="方正大标宋简体" w:cs="方正大标宋简体"/>
          <w:b w:val="0"/>
          <w:bCs/>
          <w:kern w:val="36"/>
          <w:sz w:val="44"/>
          <w:szCs w:val="44"/>
        </w:rPr>
        <w:t>江西高安农村商业银行股份有限公司2022年度信息披露报告</w:t>
      </w:r>
    </w:p>
    <w:p>
      <w:pPr>
        <w:widowControl/>
        <w:shd w:val="clear" w:color="auto" w:fill="FFFFFF"/>
        <w:spacing w:line="520" w:lineRule="exact"/>
        <w:jc w:val="left"/>
        <w:rPr>
          <w:rFonts w:hint="eastAsia" w:ascii="黑体" w:hAnsi="宋体" w:eastAsia="黑体" w:cs="宋体"/>
          <w:kern w:val="0"/>
          <w:sz w:val="32"/>
          <w:szCs w:val="32"/>
        </w:rPr>
      </w:pPr>
    </w:p>
    <w:p>
      <w:pPr>
        <w:widowControl/>
        <w:shd w:val="clear" w:color="auto" w:fill="FFFFFF"/>
        <w:spacing w:line="520" w:lineRule="exact"/>
        <w:ind w:firstLine="640" w:firstLineChars="200"/>
        <w:jc w:val="left"/>
        <w:rPr>
          <w:rFonts w:ascii="宋体" w:cs="宋体"/>
          <w:kern w:val="0"/>
          <w:sz w:val="32"/>
          <w:szCs w:val="32"/>
        </w:rPr>
      </w:pPr>
      <w:r>
        <w:rPr>
          <w:rFonts w:hint="eastAsia" w:ascii="黑体" w:hAnsi="宋体" w:eastAsia="黑体" w:cs="宋体"/>
          <w:kern w:val="0"/>
          <w:sz w:val="32"/>
          <w:szCs w:val="32"/>
        </w:rPr>
        <w:t>重要提示</w:t>
      </w:r>
      <w:r>
        <w:rPr>
          <w:rFonts w:ascii="黑体" w:hAnsi="宋体" w:eastAsia="黑体" w:cs="宋体"/>
          <w:kern w:val="0"/>
          <w:sz w:val="32"/>
          <w:szCs w:val="32"/>
        </w:rPr>
        <w:t>:</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1.1江西高安农村商业银行股份有限公司（以下简称“本行”）董事会及董事保证本报告所载资料不存在任何虚假记载、误导性陈述或者重大遗漏，并对其内容的真实性、准确性和完整性承担个别及连带责任。</w:t>
      </w:r>
    </w:p>
    <w:p>
      <w:pPr>
        <w:widowControl/>
        <w:shd w:val="clear" w:color="auto" w:fill="FFFFFF"/>
        <w:tabs>
          <w:tab w:val="left" w:pos="630"/>
        </w:tabs>
        <w:spacing w:line="520" w:lineRule="exact"/>
        <w:ind w:firstLine="640" w:firstLineChars="200"/>
        <w:jc w:val="left"/>
        <w:rPr>
          <w:rFonts w:ascii="仿宋_GB2312" w:hAnsi="宋体" w:eastAsia="仿宋_GB2312" w:cs="宋体"/>
          <w:kern w:val="0"/>
          <w:sz w:val="32"/>
          <w:szCs w:val="32"/>
          <w:highlight w:val="yellow"/>
        </w:rPr>
      </w:pPr>
      <w:r>
        <w:rPr>
          <w:rFonts w:hint="eastAsia" w:ascii="仿宋_GB2312" w:hAnsi="仿宋" w:eastAsia="仿宋_GB2312" w:cs="宋体"/>
          <w:kern w:val="0"/>
          <w:sz w:val="32"/>
          <w:szCs w:val="32"/>
        </w:rPr>
        <w:t>1.2</w:t>
      </w:r>
      <w:r>
        <w:rPr>
          <w:rFonts w:hint="eastAsia" w:ascii="仿宋_GB2312" w:hAnsi="仿宋" w:eastAsia="仿宋_GB2312" w:cs="宋体"/>
          <w:kern w:val="0"/>
          <w:sz w:val="32"/>
          <w:szCs w:val="32"/>
          <w:highlight w:val="none"/>
        </w:rPr>
        <w:t>本行第</w:t>
      </w:r>
      <w:r>
        <w:rPr>
          <w:rFonts w:hint="eastAsia" w:ascii="仿宋_GB2312" w:hAnsi="仿宋" w:eastAsia="仿宋_GB2312" w:cs="宋体"/>
          <w:kern w:val="0"/>
          <w:sz w:val="32"/>
          <w:szCs w:val="32"/>
          <w:highlight w:val="none"/>
          <w:lang w:eastAsia="zh-CN"/>
        </w:rPr>
        <w:t>三</w:t>
      </w:r>
      <w:r>
        <w:rPr>
          <w:rFonts w:hint="eastAsia" w:ascii="仿宋_GB2312" w:hAnsi="仿宋" w:eastAsia="仿宋_GB2312" w:cs="宋体"/>
          <w:kern w:val="0"/>
          <w:sz w:val="32"/>
          <w:szCs w:val="32"/>
          <w:highlight w:val="none"/>
        </w:rPr>
        <w:t>届董事会第</w:t>
      </w:r>
      <w:r>
        <w:rPr>
          <w:rFonts w:hint="eastAsia" w:ascii="仿宋_GB2312" w:hAnsi="仿宋" w:eastAsia="仿宋_GB2312" w:cs="宋体"/>
          <w:kern w:val="0"/>
          <w:sz w:val="32"/>
          <w:szCs w:val="32"/>
          <w:highlight w:val="none"/>
          <w:lang w:eastAsia="zh-CN"/>
        </w:rPr>
        <w:t>十七</w:t>
      </w:r>
      <w:r>
        <w:rPr>
          <w:rFonts w:hint="eastAsia" w:ascii="仿宋_GB2312" w:hAnsi="仿宋" w:eastAsia="仿宋_GB2312" w:cs="宋体"/>
          <w:kern w:val="0"/>
          <w:sz w:val="32"/>
          <w:szCs w:val="32"/>
          <w:highlight w:val="none"/>
        </w:rPr>
        <w:t>次会议审议通过了本年度报告。</w:t>
      </w:r>
    </w:p>
    <w:p>
      <w:pPr>
        <w:widowControl/>
        <w:shd w:val="clear" w:color="auto" w:fill="FFFFFF"/>
        <w:spacing w:line="5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1.3本行</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年度财务决算报告经江西惠普会计师事务所有</w:t>
      </w:r>
      <w:r>
        <w:rPr>
          <w:rFonts w:ascii="仿宋_GB2312" w:hAnsi="宋体" w:eastAsia="仿宋_GB2312" w:cs="宋体"/>
          <w:kern w:val="0"/>
          <w:sz w:val="32"/>
          <w:szCs w:val="32"/>
          <w:highlight w:val="none"/>
        </w:rPr>
        <w:t>限责任公司</w:t>
      </w:r>
      <w:r>
        <w:rPr>
          <w:rFonts w:hint="eastAsia" w:ascii="仿宋_GB2312" w:hAnsi="宋体" w:eastAsia="仿宋_GB2312" w:cs="宋体"/>
          <w:kern w:val="0"/>
          <w:sz w:val="32"/>
          <w:szCs w:val="32"/>
          <w:highlight w:val="none"/>
        </w:rPr>
        <w:t>根据国内审计准则审计，并出具了标准无保留意见的审计报告。</w:t>
      </w:r>
    </w:p>
    <w:p>
      <w:pPr>
        <w:widowControl/>
        <w:shd w:val="clear" w:color="auto" w:fill="FFFFFF"/>
        <w:spacing w:line="520" w:lineRule="exact"/>
        <w:ind w:firstLine="640" w:firstLineChars="200"/>
        <w:jc w:val="left"/>
        <w:rPr>
          <w:rFonts w:ascii="宋体" w:cs="宋体"/>
          <w:kern w:val="0"/>
          <w:sz w:val="32"/>
          <w:szCs w:val="32"/>
        </w:rPr>
      </w:pPr>
      <w:r>
        <w:rPr>
          <w:rFonts w:hint="eastAsia" w:ascii="黑体" w:hAnsi="宋体" w:eastAsia="黑体" w:cs="宋体"/>
          <w:kern w:val="0"/>
          <w:sz w:val="32"/>
          <w:szCs w:val="32"/>
        </w:rPr>
        <w:t>一、基本情况简介</w:t>
      </w:r>
    </w:p>
    <w:p>
      <w:pPr>
        <w:spacing w:line="520" w:lineRule="exact"/>
        <w:ind w:firstLine="643" w:firstLineChars="200"/>
        <w:rPr>
          <w:rFonts w:ascii="宋体" w:cs="宋体"/>
          <w:kern w:val="0"/>
          <w:sz w:val="32"/>
          <w:szCs w:val="32"/>
        </w:rPr>
      </w:pPr>
      <w:r>
        <w:rPr>
          <w:rFonts w:ascii="仿宋_GB2312" w:hAnsi="宋体" w:eastAsia="仿宋_GB2312" w:cs="宋体"/>
          <w:b/>
          <w:kern w:val="0"/>
          <w:sz w:val="32"/>
          <w:szCs w:val="32"/>
        </w:rPr>
        <w:t>1.1</w:t>
      </w:r>
      <w:r>
        <w:rPr>
          <w:rFonts w:hint="eastAsia" w:ascii="仿宋_GB2312" w:hAnsi="宋体" w:eastAsia="仿宋_GB2312" w:cs="宋体"/>
          <w:b/>
          <w:kern w:val="0"/>
          <w:sz w:val="32"/>
          <w:szCs w:val="32"/>
        </w:rPr>
        <w:t>法定中文名称：</w:t>
      </w:r>
      <w:r>
        <w:rPr>
          <w:rFonts w:hint="eastAsia" w:ascii="仿宋_GB2312" w:eastAsia="仿宋_GB2312" w:cs="宋体"/>
          <w:kern w:val="0"/>
          <w:sz w:val="32"/>
          <w:szCs w:val="32"/>
        </w:rPr>
        <w:t>江西高安农村商业银行股份有限公司</w:t>
      </w:r>
      <w:r>
        <w:rPr>
          <w:rFonts w:hint="eastAsia" w:ascii="仿宋_GB2312" w:hAnsi="宋体" w:eastAsia="仿宋_GB2312" w:cs="宋体"/>
          <w:kern w:val="0"/>
          <w:sz w:val="32"/>
          <w:szCs w:val="32"/>
        </w:rPr>
        <w:t>，简称：高安农商银行，</w:t>
      </w:r>
      <w:r>
        <w:rPr>
          <w:rFonts w:hint="eastAsia" w:ascii="仿宋_GB2312" w:hAnsi="宋体" w:eastAsia="仿宋_GB2312" w:cs="宋体"/>
          <w:b/>
          <w:kern w:val="0"/>
          <w:sz w:val="32"/>
          <w:szCs w:val="32"/>
        </w:rPr>
        <w:t>法定英文名称：</w:t>
      </w:r>
      <w:r>
        <w:rPr>
          <w:rFonts w:ascii="仿宋_GB2312" w:eastAsia="仿宋_GB2312"/>
          <w:sz w:val="32"/>
          <w:szCs w:val="32"/>
        </w:rPr>
        <w:t xml:space="preserve">Jiang Xi </w:t>
      </w:r>
      <w:r>
        <w:rPr>
          <w:rFonts w:ascii="仿宋_GB2312" w:hAnsi="宋体" w:eastAsia="仿宋_GB2312"/>
          <w:sz w:val="32"/>
          <w:szCs w:val="32"/>
        </w:rPr>
        <w:t>Gaoan</w:t>
      </w:r>
      <w:r>
        <w:rPr>
          <w:rFonts w:ascii="仿宋_GB2312" w:hAnsi="华文中宋" w:eastAsia="仿宋_GB2312"/>
          <w:sz w:val="32"/>
          <w:szCs w:val="32"/>
        </w:rPr>
        <w:t xml:space="preserve"> </w:t>
      </w:r>
      <w:r>
        <w:rPr>
          <w:rFonts w:ascii="仿宋_GB2312" w:eastAsia="仿宋_GB2312"/>
          <w:sz w:val="32"/>
          <w:szCs w:val="32"/>
        </w:rPr>
        <w:t>Rural Commercial Bank Co.</w:t>
      </w:r>
      <w:r>
        <w:rPr>
          <w:rFonts w:hint="eastAsia" w:ascii="仿宋_GB2312" w:eastAsia="仿宋_GB2312"/>
          <w:sz w:val="32"/>
          <w:szCs w:val="32"/>
        </w:rPr>
        <w:t>，</w:t>
      </w:r>
      <w:r>
        <w:rPr>
          <w:rFonts w:ascii="仿宋_GB2312" w:eastAsia="仿宋_GB2312"/>
          <w:sz w:val="32"/>
          <w:szCs w:val="32"/>
        </w:rPr>
        <w:t>Ltd.</w:t>
      </w:r>
      <w:r>
        <w:rPr>
          <w:rFonts w:hint="eastAsia" w:ascii="仿宋_GB2312" w:hAnsi="宋体" w:eastAsia="仿宋_GB2312" w:cs="宋体"/>
          <w:kern w:val="0"/>
          <w:sz w:val="32"/>
          <w:szCs w:val="32"/>
        </w:rPr>
        <w:t>，英文简称：</w:t>
      </w:r>
      <w:r>
        <w:rPr>
          <w:rFonts w:ascii="仿宋_GB2312" w:hAnsi="宋体" w:eastAsia="仿宋_GB2312"/>
          <w:sz w:val="32"/>
          <w:szCs w:val="32"/>
        </w:rPr>
        <w:t>Gaoan</w:t>
      </w:r>
      <w:r>
        <w:rPr>
          <w:rFonts w:ascii="仿宋_GB2312" w:hAnsi="宋体" w:eastAsia="仿宋_GB2312" w:cs="宋体"/>
          <w:kern w:val="0"/>
          <w:sz w:val="32"/>
          <w:szCs w:val="32"/>
        </w:rPr>
        <w:t xml:space="preserve"> Rural Commercial Bank</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1.2</w:t>
      </w:r>
      <w:r>
        <w:rPr>
          <w:rFonts w:hint="eastAsia" w:ascii="仿宋_GB2312" w:hAnsi="宋体" w:eastAsia="仿宋_GB2312" w:cs="宋体"/>
          <w:b/>
          <w:kern w:val="0"/>
          <w:sz w:val="32"/>
          <w:szCs w:val="32"/>
        </w:rPr>
        <w:t>法定代表人：</w:t>
      </w:r>
      <w:r>
        <w:rPr>
          <w:rFonts w:hint="eastAsia" w:ascii="仿宋_GB2312" w:hAnsi="宋体" w:eastAsia="仿宋_GB2312" w:cs="宋体"/>
          <w:kern w:val="0"/>
          <w:sz w:val="32"/>
          <w:szCs w:val="32"/>
        </w:rPr>
        <w:t>舒洪泉</w:t>
      </w:r>
    </w:p>
    <w:p>
      <w:pPr>
        <w:widowControl/>
        <w:shd w:val="clear" w:color="auto" w:fill="FFFFFF"/>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1.3</w:t>
      </w:r>
      <w:r>
        <w:rPr>
          <w:rFonts w:hint="eastAsia" w:ascii="仿宋_GB2312" w:hAnsi="宋体" w:eastAsia="仿宋_GB2312" w:cs="宋体"/>
          <w:b/>
          <w:kern w:val="0"/>
          <w:sz w:val="32"/>
          <w:szCs w:val="32"/>
        </w:rPr>
        <w:t>注册及办公地址：</w:t>
      </w:r>
      <w:r>
        <w:rPr>
          <w:rFonts w:hint="eastAsia" w:ascii="仿宋_GB2312" w:hAnsi="宋体" w:eastAsia="仿宋_GB2312"/>
          <w:sz w:val="32"/>
          <w:szCs w:val="32"/>
        </w:rPr>
        <w:t>高安市瑞州路</w:t>
      </w:r>
      <w:r>
        <w:rPr>
          <w:rFonts w:ascii="仿宋_GB2312" w:hAnsi="宋体" w:eastAsia="仿宋_GB2312"/>
          <w:sz w:val="32"/>
          <w:szCs w:val="32"/>
        </w:rPr>
        <w:t>163</w:t>
      </w:r>
      <w:r>
        <w:rPr>
          <w:rFonts w:hint="eastAsia" w:ascii="仿宋_GB2312" w:hAnsi="宋体" w:eastAsia="仿宋_GB2312"/>
          <w:sz w:val="32"/>
          <w:szCs w:val="32"/>
        </w:rPr>
        <w:t>号</w:t>
      </w:r>
      <w:r>
        <w:rPr>
          <w:rFonts w:hint="eastAsia" w:ascii="仿宋_GB2312" w:hAnsi="宋体" w:eastAsia="仿宋_GB2312" w:cs="宋体"/>
          <w:kern w:val="0"/>
          <w:sz w:val="32"/>
          <w:szCs w:val="32"/>
        </w:rPr>
        <w:t>。邮政编码：</w:t>
      </w:r>
      <w:r>
        <w:rPr>
          <w:rFonts w:ascii="仿宋_GB2312" w:hAnsi="宋体" w:eastAsia="仿宋_GB2312" w:cs="宋体"/>
          <w:kern w:val="0"/>
          <w:sz w:val="32"/>
          <w:szCs w:val="32"/>
        </w:rPr>
        <w:t>330800</w:t>
      </w:r>
      <w:r>
        <w:rPr>
          <w:rFonts w:hint="eastAsia" w:ascii="仿宋_GB2312" w:hAnsi="宋体" w:eastAsia="仿宋_GB2312" w:cs="宋体"/>
          <w:kern w:val="0"/>
          <w:sz w:val="32"/>
          <w:szCs w:val="32"/>
        </w:rPr>
        <w:t>。</w:t>
      </w:r>
    </w:p>
    <w:p>
      <w:pPr>
        <w:widowControl/>
        <w:shd w:val="clear" w:color="auto" w:fill="FFFFFF"/>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1.4</w:t>
      </w:r>
      <w:r>
        <w:rPr>
          <w:rFonts w:hint="eastAsia" w:ascii="仿宋_GB2312" w:hAnsi="宋体" w:eastAsia="仿宋_GB2312" w:cs="宋体"/>
          <w:b/>
          <w:kern w:val="0"/>
          <w:sz w:val="32"/>
          <w:szCs w:val="32"/>
        </w:rPr>
        <w:t>其他有关资料：</w:t>
      </w:r>
      <w:r>
        <w:rPr>
          <w:rFonts w:hint="eastAsia" w:ascii="仿宋_GB2312" w:hAnsi="宋体" w:eastAsia="仿宋_GB2312" w:cs="宋体"/>
          <w:kern w:val="0"/>
          <w:sz w:val="32"/>
          <w:szCs w:val="32"/>
        </w:rPr>
        <w:t>企业法人营业执照注册号：</w:t>
      </w:r>
      <w:r>
        <w:rPr>
          <w:rFonts w:ascii="仿宋_GB2312" w:hAnsi="宋体" w:eastAsia="仿宋_GB2312" w:cs="宋体"/>
          <w:spacing w:val="-10"/>
          <w:kern w:val="0"/>
          <w:sz w:val="32"/>
          <w:szCs w:val="32"/>
        </w:rPr>
        <w:t>913609004921260045</w:t>
      </w:r>
      <w:r>
        <w:rPr>
          <w:rFonts w:hint="eastAsia" w:ascii="仿宋_GB2312" w:hAnsi="宋体" w:eastAsia="仿宋_GB2312" w:cs="宋体"/>
          <w:spacing w:val="-6"/>
          <w:kern w:val="0"/>
          <w:sz w:val="32"/>
          <w:szCs w:val="32"/>
        </w:rPr>
        <w:t>，</w:t>
      </w:r>
      <w:r>
        <w:rPr>
          <w:rFonts w:hint="eastAsia" w:ascii="仿宋_GB2312" w:hAnsi="宋体" w:eastAsia="仿宋_GB2312" w:cs="宋体"/>
          <w:spacing w:val="-10"/>
          <w:kern w:val="0"/>
          <w:sz w:val="32"/>
          <w:szCs w:val="32"/>
        </w:rPr>
        <w:t>金融许可证号：</w:t>
      </w:r>
      <w:r>
        <w:rPr>
          <w:rFonts w:ascii="仿宋_GB2312" w:hAnsi="宋体" w:eastAsia="仿宋_GB2312" w:cs="宋体"/>
          <w:spacing w:val="-10"/>
          <w:kern w:val="0"/>
          <w:sz w:val="32"/>
          <w:szCs w:val="32"/>
        </w:rPr>
        <w:t>B0556H236090001</w:t>
      </w:r>
      <w:r>
        <w:rPr>
          <w:rFonts w:hint="eastAsia" w:ascii="仿宋_GB2312" w:hAnsi="宋体" w:eastAsia="仿宋_GB2312" w:cs="宋体"/>
          <w:spacing w:val="-10"/>
          <w:kern w:val="0"/>
          <w:sz w:val="32"/>
          <w:szCs w:val="32"/>
        </w:rPr>
        <w:t>。</w:t>
      </w:r>
    </w:p>
    <w:p>
      <w:pPr>
        <w:widowControl/>
        <w:shd w:val="clear" w:color="auto" w:fill="FFFFFF"/>
        <w:spacing w:line="520" w:lineRule="exact"/>
        <w:ind w:firstLine="600" w:firstLineChars="200"/>
        <w:jc w:val="left"/>
        <w:rPr>
          <w:rFonts w:ascii="黑体" w:hAnsi="宋体" w:eastAsia="黑体" w:cs="宋体"/>
          <w:color w:val="auto"/>
          <w:kern w:val="0"/>
          <w:sz w:val="32"/>
          <w:szCs w:val="32"/>
          <w:highlight w:val="none"/>
        </w:rPr>
      </w:pPr>
      <w:r>
        <w:rPr>
          <w:rFonts w:ascii="仿宋_GB2312" w:hAnsi="宋体" w:eastAsia="仿宋_GB2312" w:cs="宋体"/>
          <w:color w:val="auto"/>
          <w:spacing w:val="-10"/>
          <w:kern w:val="0"/>
          <w:sz w:val="32"/>
          <w:szCs w:val="32"/>
          <w:highlight w:val="none"/>
        </w:rPr>
        <w:t xml:space="preserve"> </w:t>
      </w:r>
      <w:r>
        <w:rPr>
          <w:rFonts w:hint="eastAsia" w:ascii="黑体" w:hAnsi="宋体" w:eastAsia="黑体" w:cs="宋体"/>
          <w:color w:val="auto"/>
          <w:kern w:val="0"/>
          <w:sz w:val="32"/>
          <w:szCs w:val="32"/>
          <w:highlight w:val="none"/>
        </w:rPr>
        <w:t>二、主要业务数据</w:t>
      </w:r>
    </w:p>
    <w:p>
      <w:pPr>
        <w:widowControl/>
        <w:shd w:val="clear" w:color="auto" w:fill="FFFFFF"/>
        <w:spacing w:line="52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截止202</w:t>
      </w:r>
      <w:r>
        <w:rPr>
          <w:rFonts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rPr>
        <w:t>年末，各项资产总计</w:t>
      </w:r>
      <w:r>
        <w:rPr>
          <w:rFonts w:ascii="仿宋" w:hAnsi="仿宋" w:eastAsia="仿宋" w:cs="宋体"/>
          <w:color w:val="auto"/>
          <w:kern w:val="0"/>
          <w:sz w:val="32"/>
          <w:szCs w:val="32"/>
          <w:highlight w:val="none"/>
        </w:rPr>
        <w:t>2287645</w:t>
      </w:r>
      <w:r>
        <w:rPr>
          <w:rFonts w:hint="eastAsia" w:ascii="仿宋_GB2312" w:hAnsi="宋体" w:eastAsia="仿宋_GB2312" w:cs="宋体"/>
          <w:color w:val="auto"/>
          <w:kern w:val="0"/>
          <w:sz w:val="32"/>
          <w:szCs w:val="32"/>
          <w:highlight w:val="none"/>
        </w:rPr>
        <w:t>万元；负债总计</w:t>
      </w:r>
      <w:r>
        <w:rPr>
          <w:rFonts w:ascii="仿宋_GB2312" w:hAnsi="宋体" w:eastAsia="仿宋_GB2312" w:cs="宋体"/>
          <w:color w:val="auto"/>
          <w:kern w:val="0"/>
          <w:sz w:val="32"/>
          <w:szCs w:val="32"/>
          <w:highlight w:val="none"/>
        </w:rPr>
        <w:t>2111413</w:t>
      </w:r>
      <w:r>
        <w:rPr>
          <w:rFonts w:hint="eastAsia" w:ascii="仿宋_GB2312" w:hAnsi="宋体" w:eastAsia="仿宋_GB2312" w:cs="宋体"/>
          <w:color w:val="auto"/>
          <w:kern w:val="0"/>
          <w:sz w:val="32"/>
          <w:szCs w:val="32"/>
          <w:highlight w:val="none"/>
        </w:rPr>
        <w:t>万元；所有者权益</w:t>
      </w:r>
      <w:r>
        <w:rPr>
          <w:rFonts w:ascii="仿宋_GB2312" w:hAnsi="宋体" w:eastAsia="仿宋_GB2312" w:cs="宋体"/>
          <w:color w:val="auto"/>
          <w:kern w:val="0"/>
          <w:sz w:val="32"/>
          <w:szCs w:val="32"/>
          <w:highlight w:val="none"/>
        </w:rPr>
        <w:t>176232</w:t>
      </w:r>
      <w:r>
        <w:rPr>
          <w:rFonts w:hint="eastAsia" w:ascii="仿宋_GB2312" w:hAnsi="宋体" w:eastAsia="仿宋_GB2312" w:cs="宋体"/>
          <w:color w:val="auto"/>
          <w:kern w:val="0"/>
          <w:sz w:val="32"/>
          <w:szCs w:val="32"/>
          <w:highlight w:val="none"/>
        </w:rPr>
        <w:t>万元；实现各项收入</w:t>
      </w:r>
      <w:r>
        <w:rPr>
          <w:rFonts w:ascii="仿宋_GB2312" w:hAnsi="宋体" w:eastAsia="仿宋_GB2312" w:cs="宋体"/>
          <w:color w:val="auto"/>
          <w:kern w:val="0"/>
          <w:sz w:val="32"/>
          <w:szCs w:val="32"/>
          <w:highlight w:val="none"/>
        </w:rPr>
        <w:t>113521</w:t>
      </w:r>
      <w:r>
        <w:rPr>
          <w:rFonts w:hint="eastAsia" w:ascii="仿宋_GB2312" w:hAnsi="宋体" w:eastAsia="仿宋_GB2312" w:cs="宋体"/>
          <w:color w:val="auto"/>
          <w:kern w:val="0"/>
          <w:sz w:val="32"/>
          <w:szCs w:val="32"/>
          <w:highlight w:val="none"/>
        </w:rPr>
        <w:t>万元。</w:t>
      </w:r>
    </w:p>
    <w:p>
      <w:pPr>
        <w:widowControl/>
        <w:shd w:val="clear" w:color="auto" w:fill="FFFFFF"/>
        <w:tabs>
          <w:tab w:val="left" w:pos="630"/>
        </w:tabs>
        <w:spacing w:line="480" w:lineRule="exact"/>
        <w:ind w:firstLine="790" w:firstLineChars="246"/>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2.1</w:t>
      </w:r>
      <w:r>
        <w:rPr>
          <w:rFonts w:hint="eastAsia" w:ascii="仿宋_GB2312" w:hAnsi="宋体" w:eastAsia="仿宋_GB2312" w:cs="宋体"/>
          <w:b/>
          <w:color w:val="auto"/>
          <w:kern w:val="0"/>
          <w:sz w:val="32"/>
          <w:szCs w:val="32"/>
          <w:highlight w:val="none"/>
        </w:rPr>
        <w:t>报告期主要利润指标情况（财务填写）</w:t>
      </w:r>
    </w:p>
    <w:p>
      <w:pPr>
        <w:widowControl/>
        <w:shd w:val="clear" w:color="auto" w:fill="FFFFFF"/>
        <w:spacing w:line="480" w:lineRule="exact"/>
        <w:ind w:firstLine="640" w:firstLineChars="200"/>
        <w:jc w:val="left"/>
        <w:rPr>
          <w:rFonts w:ascii="宋体" w:cs="宋体"/>
          <w:color w:val="auto"/>
          <w:kern w:val="0"/>
          <w:sz w:val="32"/>
          <w:szCs w:val="32"/>
          <w:highlight w:val="none"/>
        </w:rPr>
      </w:pPr>
      <w:r>
        <w:rPr>
          <w:rFonts w:ascii="宋体" w:hAnsi="宋体" w:cs="宋体"/>
          <w:color w:val="auto"/>
          <w:kern w:val="0"/>
          <w:sz w:val="32"/>
          <w:szCs w:val="32"/>
          <w:highlight w:val="none"/>
        </w:rPr>
        <w:t xml:space="preserve">  </w:t>
      </w: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126" w:type="dxa"/>
        <w:jc w:val="center"/>
        <w:tblInd w:w="0" w:type="dxa"/>
        <w:tblLayout w:type="fixed"/>
        <w:tblCellMar>
          <w:top w:w="0" w:type="dxa"/>
          <w:left w:w="108" w:type="dxa"/>
          <w:bottom w:w="0" w:type="dxa"/>
          <w:right w:w="108" w:type="dxa"/>
        </w:tblCellMar>
      </w:tblPr>
      <w:tblGrid>
        <w:gridCol w:w="3420"/>
        <w:gridCol w:w="4706"/>
      </w:tblGrid>
      <w:tr>
        <w:tblPrEx>
          <w:tblLayout w:type="fixed"/>
          <w:tblCellMar>
            <w:top w:w="0" w:type="dxa"/>
            <w:left w:w="108" w:type="dxa"/>
            <w:bottom w:w="0" w:type="dxa"/>
            <w:right w:w="108" w:type="dxa"/>
          </w:tblCellMar>
        </w:tblPrEx>
        <w:trPr>
          <w:trHeight w:val="444"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ascii="黑体" w:hAnsi="黑体" w:eastAsia="黑体" w:cs="黑体"/>
                <w:b/>
                <w:bCs/>
                <w:color w:val="auto"/>
                <w:kern w:val="0"/>
                <w:sz w:val="28"/>
                <w:szCs w:val="28"/>
                <w:highlight w:val="none"/>
              </w:rPr>
              <w:t>2022</w:t>
            </w:r>
            <w:r>
              <w:rPr>
                <w:rFonts w:hint="eastAsia" w:ascii="黑体" w:hAnsi="黑体" w:eastAsia="黑体" w:cs="黑体"/>
                <w:b/>
                <w:bCs/>
                <w:color w:val="auto"/>
                <w:kern w:val="0"/>
                <w:sz w:val="28"/>
                <w:szCs w:val="28"/>
                <w:highlight w:val="none"/>
              </w:rPr>
              <w:t>年</w:t>
            </w:r>
          </w:p>
        </w:tc>
      </w:tr>
      <w:tr>
        <w:tblPrEx>
          <w:tblLayout w:type="fixed"/>
          <w:tblCellMar>
            <w:top w:w="0" w:type="dxa"/>
            <w:left w:w="108" w:type="dxa"/>
            <w:bottom w:w="0" w:type="dxa"/>
            <w:right w:w="108" w:type="dxa"/>
          </w:tblCellMar>
        </w:tblPrEx>
        <w:trPr>
          <w:trHeight w:val="394" w:hRule="atLeast"/>
          <w:jc w:val="center"/>
        </w:trPr>
        <w:tc>
          <w:tcPr>
            <w:tcW w:w="34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营业利润</w:t>
            </w:r>
          </w:p>
        </w:tc>
        <w:tc>
          <w:tcPr>
            <w:tcW w:w="4706"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ascii="仿宋_GB2312" w:hAnsi="宋体" w:eastAsia="仿宋_GB2312" w:cs="宋体"/>
                <w:color w:val="auto"/>
                <w:kern w:val="0"/>
                <w:sz w:val="28"/>
                <w:szCs w:val="28"/>
                <w:highlight w:val="none"/>
              </w:rPr>
              <w:t>21214</w:t>
            </w:r>
          </w:p>
        </w:tc>
      </w:tr>
      <w:tr>
        <w:tblPrEx>
          <w:tblLayout w:type="fixed"/>
          <w:tblCellMar>
            <w:top w:w="0" w:type="dxa"/>
            <w:left w:w="108" w:type="dxa"/>
            <w:bottom w:w="0" w:type="dxa"/>
            <w:right w:w="108" w:type="dxa"/>
          </w:tblCellMar>
        </w:tblPrEx>
        <w:trPr>
          <w:trHeight w:val="426"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利润总额</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ascii="仿宋_GB2312" w:hAnsi="宋体" w:eastAsia="仿宋_GB2312" w:cs="宋体"/>
                <w:color w:val="auto"/>
                <w:kern w:val="0"/>
                <w:sz w:val="28"/>
                <w:szCs w:val="28"/>
                <w:highlight w:val="none"/>
              </w:rPr>
              <w:t>20866</w:t>
            </w:r>
          </w:p>
        </w:tc>
      </w:tr>
      <w:tr>
        <w:tblPrEx>
          <w:tblLayout w:type="fixed"/>
          <w:tblCellMar>
            <w:top w:w="0" w:type="dxa"/>
            <w:left w:w="108" w:type="dxa"/>
            <w:bottom w:w="0" w:type="dxa"/>
            <w:right w:w="108" w:type="dxa"/>
          </w:tblCellMar>
        </w:tblPrEx>
        <w:trPr>
          <w:trHeight w:val="48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净利润</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ascii="仿宋_GB2312" w:hAnsi="宋体" w:eastAsia="仿宋_GB2312" w:cs="宋体"/>
                <w:color w:val="auto"/>
                <w:kern w:val="0"/>
                <w:sz w:val="28"/>
                <w:szCs w:val="28"/>
                <w:highlight w:val="none"/>
              </w:rPr>
              <w:t>15224</w:t>
            </w:r>
          </w:p>
        </w:tc>
      </w:tr>
    </w:tbl>
    <w:p>
      <w:pPr>
        <w:widowControl/>
        <w:shd w:val="clear" w:color="auto" w:fill="FFFFFF"/>
        <w:tabs>
          <w:tab w:val="left" w:pos="630"/>
        </w:tabs>
        <w:spacing w:line="400" w:lineRule="exact"/>
        <w:ind w:firstLine="790" w:firstLineChars="24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321" w:firstLineChars="1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2.2</w:t>
      </w:r>
      <w:r>
        <w:rPr>
          <w:rFonts w:hint="eastAsia" w:ascii="仿宋_GB2312" w:hAnsi="宋体" w:eastAsia="仿宋_GB2312" w:cs="宋体"/>
          <w:b/>
          <w:color w:val="auto"/>
          <w:kern w:val="0"/>
          <w:sz w:val="32"/>
          <w:szCs w:val="32"/>
          <w:highlight w:val="none"/>
        </w:rPr>
        <w:t>截止报告期末前二年的主要会计财务数据和财务指标</w:t>
      </w:r>
      <w:r>
        <w:rPr>
          <w:rFonts w:ascii="仿宋_GB2312" w:hAnsi="宋体" w:eastAsia="仿宋_GB2312" w:cs="宋体"/>
          <w:b/>
          <w:color w:val="auto"/>
          <w:kern w:val="0"/>
          <w:sz w:val="32"/>
          <w:szCs w:val="32"/>
          <w:highlight w:val="none"/>
        </w:rPr>
        <w:t xml:space="preserve"> </w:t>
      </w:r>
    </w:p>
    <w:p>
      <w:pPr>
        <w:widowControl/>
        <w:shd w:val="clear" w:color="auto" w:fill="FFFFFF"/>
        <w:tabs>
          <w:tab w:val="left" w:pos="630"/>
        </w:tabs>
        <w:spacing w:line="400" w:lineRule="exact"/>
        <w:ind w:right="491"/>
        <w:jc w:val="right"/>
        <w:rPr>
          <w:rFonts w:ascii="宋体"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194" w:type="dxa"/>
        <w:jc w:val="center"/>
        <w:tblInd w:w="0" w:type="dxa"/>
        <w:tblLayout w:type="fixed"/>
        <w:tblCellMar>
          <w:top w:w="0" w:type="dxa"/>
          <w:left w:w="108" w:type="dxa"/>
          <w:bottom w:w="0" w:type="dxa"/>
          <w:right w:w="108" w:type="dxa"/>
        </w:tblCellMar>
      </w:tblPr>
      <w:tblGrid>
        <w:gridCol w:w="3364"/>
        <w:gridCol w:w="2415"/>
        <w:gridCol w:w="2415"/>
      </w:tblGrid>
      <w:tr>
        <w:tblPrEx>
          <w:tblLayout w:type="fixed"/>
          <w:tblCellMar>
            <w:top w:w="0" w:type="dxa"/>
            <w:left w:w="108" w:type="dxa"/>
            <w:bottom w:w="0" w:type="dxa"/>
            <w:right w:w="108" w:type="dxa"/>
          </w:tblCellMar>
        </w:tblPrEx>
        <w:trPr>
          <w:trHeight w:val="456"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2021年</w:t>
            </w:r>
          </w:p>
        </w:tc>
        <w:tc>
          <w:tcPr>
            <w:tcW w:w="2415"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2022年</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营业收入</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108259</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113335</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年末总资产</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2072149</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2287645</w:t>
            </w:r>
          </w:p>
        </w:tc>
      </w:tr>
      <w:tr>
        <w:tblPrEx>
          <w:tblLayout w:type="fixed"/>
          <w:tblCellMar>
            <w:top w:w="0" w:type="dxa"/>
            <w:left w:w="108" w:type="dxa"/>
            <w:bottom w:w="0" w:type="dxa"/>
            <w:right w:w="108" w:type="dxa"/>
          </w:tblCellMar>
        </w:tblPrEx>
        <w:trPr>
          <w:trHeight w:val="90"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年末存款余额</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1825080</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2031182</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年末贷款余额</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1288316</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1378316</w:t>
            </w:r>
          </w:p>
        </w:tc>
      </w:tr>
      <w:tr>
        <w:tblPrEx>
          <w:tblLayout w:type="fixed"/>
          <w:tblCellMar>
            <w:top w:w="0" w:type="dxa"/>
            <w:left w:w="108" w:type="dxa"/>
            <w:bottom w:w="0" w:type="dxa"/>
            <w:right w:w="108" w:type="dxa"/>
          </w:tblCellMar>
        </w:tblPrEx>
        <w:trPr>
          <w:trHeight w:val="157"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年末所有者权益</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170568</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176232</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每股收益</w:t>
            </w:r>
            <w:r>
              <w:rPr>
                <w:rFonts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rPr>
              <w:t>元</w:t>
            </w:r>
            <w:r>
              <w:rPr>
                <w:rFonts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rPr>
              <w:t>股</w:t>
            </w:r>
            <w:r>
              <w:rPr>
                <w:rFonts w:ascii="仿宋_GB2312" w:hAnsi="宋体-PUA" w:eastAsia="仿宋_GB2312" w:cs="宋体-PUA"/>
                <w:color w:val="auto"/>
                <w:kern w:val="0"/>
                <w:sz w:val="28"/>
                <w:szCs w:val="28"/>
                <w:highlight w:val="none"/>
              </w:rPr>
              <w:t>)</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0.26</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0.26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净资产收益率</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8.79%</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8.64</w:t>
            </w:r>
            <w:r>
              <w:rPr>
                <w:rFonts w:ascii="仿宋_GB2312" w:hAnsi="宋体" w:eastAsia="仿宋_GB2312" w:cs="宋体"/>
                <w:color w:val="auto"/>
                <w:kern w:val="0"/>
                <w:sz w:val="28"/>
                <w:szCs w:val="28"/>
                <w:highlight w:val="none"/>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2.3</w:t>
      </w:r>
      <w:r>
        <w:rPr>
          <w:rFonts w:hint="eastAsia" w:ascii="仿宋_GB2312" w:hAnsi="宋体" w:eastAsia="仿宋_GB2312" w:cs="宋体"/>
          <w:b/>
          <w:color w:val="auto"/>
          <w:kern w:val="0"/>
          <w:sz w:val="32"/>
          <w:szCs w:val="32"/>
          <w:highlight w:val="none"/>
        </w:rPr>
        <w:t>报告期内资本构成及其变化情况</w:t>
      </w:r>
      <w:r>
        <w:rPr>
          <w:rFonts w:hint="eastAsia" w:ascii="仿宋_GB2312" w:hAnsi="宋体" w:eastAsia="仿宋_GB2312" w:cs="宋体"/>
          <w:b/>
          <w:color w:val="auto"/>
          <w:kern w:val="0"/>
          <w:sz w:val="32"/>
          <w:szCs w:val="32"/>
          <w:highlight w:val="none"/>
          <w:lang w:eastAsia="zh-CN"/>
        </w:rPr>
        <w:t>（风险填写）</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641"/>
        <w:jc w:val="right"/>
        <w:textAlignment w:val="auto"/>
        <w:outlineLvl w:val="9"/>
        <w:rPr>
          <w:rFonts w:ascii="宋体" w:cs="宋体"/>
          <w:color w:val="auto"/>
          <w:kern w:val="0"/>
          <w:sz w:val="32"/>
          <w:szCs w:val="32"/>
          <w:highlight w:val="none"/>
        </w:rPr>
      </w:pP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b/>
                <w:bCs/>
                <w:color w:val="auto"/>
                <w:kern w:val="0"/>
                <w:sz w:val="28"/>
                <w:szCs w:val="28"/>
                <w:highlight w:val="none"/>
              </w:rPr>
            </w:pPr>
            <w:r>
              <w:rPr>
                <w:rFonts w:ascii="黑体" w:hAnsi="黑体" w:eastAsia="黑体" w:cs="黑体"/>
                <w:b/>
                <w:bCs/>
                <w:color w:val="auto"/>
                <w:kern w:val="0"/>
                <w:sz w:val="28"/>
                <w:szCs w:val="28"/>
                <w:highlight w:val="none"/>
              </w:rPr>
              <w:t>20</w:t>
            </w:r>
            <w:r>
              <w:rPr>
                <w:rFonts w:hint="eastAsia" w:ascii="黑体" w:hAnsi="黑体" w:eastAsia="黑体" w:cs="黑体"/>
                <w:b/>
                <w:bCs/>
                <w:color w:val="auto"/>
                <w:kern w:val="0"/>
                <w:sz w:val="28"/>
                <w:szCs w:val="28"/>
                <w:highlight w:val="none"/>
              </w:rPr>
              <w:t>2</w:t>
            </w:r>
            <w:r>
              <w:rPr>
                <w:rFonts w:hint="eastAsia" w:ascii="黑体" w:hAnsi="黑体" w:eastAsia="黑体" w:cs="黑体"/>
                <w:b/>
                <w:bCs/>
                <w:color w:val="auto"/>
                <w:kern w:val="0"/>
                <w:sz w:val="28"/>
                <w:szCs w:val="28"/>
                <w:highlight w:val="none"/>
                <w:lang w:val="en-US" w:eastAsia="zh-CN"/>
              </w:rPr>
              <w:t>2</w:t>
            </w:r>
            <w:r>
              <w:rPr>
                <w:rFonts w:hint="eastAsia" w:ascii="黑体" w:hAnsi="黑体" w:eastAsia="黑体" w:cs="黑体"/>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核心一级资本净额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8"/>
                <w:szCs w:val="28"/>
                <w:highlight w:val="none"/>
              </w:rPr>
            </w:pPr>
            <w:r>
              <w:rPr>
                <w:rFonts w:hint="eastAsia"/>
                <w:color w:val="auto"/>
                <w:sz w:val="28"/>
                <w:szCs w:val="28"/>
                <w:highlight w:val="none"/>
              </w:rPr>
              <w:t>175508.72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2.</w:t>
            </w:r>
            <w:r>
              <w:rPr>
                <w:rFonts w:hint="eastAsia" w:ascii="仿宋_GB2312" w:hAnsi="宋体-PUA" w:eastAsia="仿宋_GB2312" w:cs="宋体-PUA"/>
                <w:color w:val="auto"/>
                <w:kern w:val="0"/>
                <w:sz w:val="28"/>
                <w:szCs w:val="28"/>
                <w:highlight w:val="none"/>
              </w:rPr>
              <w:t>一级资本净额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8"/>
                <w:szCs w:val="28"/>
                <w:highlight w:val="none"/>
              </w:rPr>
            </w:pPr>
            <w:r>
              <w:rPr>
                <w:rFonts w:hint="eastAsia"/>
                <w:color w:val="auto"/>
                <w:sz w:val="28"/>
                <w:szCs w:val="28"/>
                <w:highlight w:val="none"/>
              </w:rPr>
              <w:t>175508.72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3.</w:t>
            </w:r>
            <w:r>
              <w:rPr>
                <w:rFonts w:hint="eastAsia" w:ascii="仿宋_GB2312" w:hAnsi="宋体-PUA" w:eastAsia="仿宋_GB2312" w:cs="宋体-PUA"/>
                <w:color w:val="auto"/>
                <w:kern w:val="0"/>
                <w:sz w:val="28"/>
                <w:szCs w:val="28"/>
                <w:highlight w:val="none"/>
              </w:rPr>
              <w:t>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eastAsia="宋体"/>
                <w:color w:val="auto"/>
                <w:sz w:val="28"/>
                <w:szCs w:val="28"/>
                <w:highlight w:val="none"/>
                <w:lang w:val="en-US" w:eastAsia="zh-CN"/>
              </w:rPr>
            </w:pPr>
            <w:r>
              <w:rPr>
                <w:rFonts w:hint="eastAsia"/>
                <w:color w:val="auto"/>
                <w:sz w:val="28"/>
                <w:szCs w:val="28"/>
                <w:highlight w:val="none"/>
                <w:lang w:val="en-US" w:eastAsia="zh-CN"/>
              </w:rPr>
              <w:t>190056.76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4.</w:t>
            </w:r>
            <w:r>
              <w:rPr>
                <w:rFonts w:hint="eastAsia" w:ascii="仿宋_GB2312" w:hAnsi="宋体-PUA" w:eastAsia="仿宋_GB2312" w:cs="宋体-PUA"/>
                <w:color w:val="auto"/>
                <w:kern w:val="0"/>
                <w:sz w:val="28"/>
                <w:szCs w:val="28"/>
                <w:highlight w:val="none"/>
              </w:rPr>
              <w:t>信用风险加权资产</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8"/>
                <w:szCs w:val="28"/>
                <w:highlight w:val="none"/>
              </w:rPr>
            </w:pPr>
            <w:r>
              <w:rPr>
                <w:rFonts w:hint="eastAsia"/>
                <w:color w:val="auto"/>
                <w:sz w:val="28"/>
                <w:szCs w:val="28"/>
                <w:highlight w:val="none"/>
              </w:rPr>
              <w:t>1178390.9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其中：表内风险加权资产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color w:val="auto"/>
                <w:sz w:val="28"/>
                <w:szCs w:val="28"/>
                <w:highlight w:val="none"/>
              </w:rPr>
              <w:t>1169416.39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300"/>
              <w:jc w:val="left"/>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表外风险加权资产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8974.51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5</w:t>
            </w:r>
            <w:r>
              <w:rPr>
                <w:rFonts w:hint="eastAsia" w:ascii="仿宋_GB2312" w:hAnsi="宋体-PUA" w:eastAsia="仿宋_GB2312" w:cs="宋体-PUA"/>
                <w:color w:val="auto"/>
                <w:kern w:val="0"/>
                <w:sz w:val="28"/>
                <w:szCs w:val="28"/>
                <w:highlight w:val="none"/>
              </w:rPr>
              <w:t>．市场风险加权资产</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6</w:t>
            </w:r>
            <w:r>
              <w:rPr>
                <w:rFonts w:hint="eastAsia" w:ascii="仿宋_GB2312" w:hAnsi="宋体-PUA" w:eastAsia="仿宋_GB2312" w:cs="宋体-PUA"/>
                <w:color w:val="auto"/>
                <w:kern w:val="0"/>
                <w:sz w:val="28"/>
                <w:szCs w:val="28"/>
                <w:highlight w:val="none"/>
              </w:rPr>
              <w:t>．操作风险加权资产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7</w:t>
            </w:r>
            <w:r>
              <w:rPr>
                <w:rFonts w:hint="eastAsia" w:ascii="仿宋_GB2312" w:hAnsi="宋体-PUA" w:eastAsia="仿宋_GB2312" w:cs="宋体-PUA"/>
                <w:color w:val="auto"/>
                <w:kern w:val="0"/>
                <w:sz w:val="28"/>
                <w:szCs w:val="28"/>
                <w:highlight w:val="none"/>
              </w:rPr>
              <w:t>．风险加权资产合计</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1318803.9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8</w:t>
            </w:r>
            <w:r>
              <w:rPr>
                <w:rFonts w:hint="eastAsia" w:ascii="仿宋_GB2312" w:hAnsi="宋体-PUA" w:eastAsia="仿宋_GB2312" w:cs="宋体-PUA"/>
                <w:color w:val="auto"/>
                <w:kern w:val="0"/>
                <w:sz w:val="28"/>
                <w:szCs w:val="28"/>
                <w:highlight w:val="none"/>
              </w:rPr>
              <w:t>．核心一级资本充足率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13.31</w:t>
            </w:r>
            <w:r>
              <w:rPr>
                <w:rFonts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9</w:t>
            </w:r>
            <w:r>
              <w:rPr>
                <w:rFonts w:hint="eastAsia" w:ascii="仿宋_GB2312" w:hAnsi="宋体-PUA" w:eastAsia="仿宋_GB2312" w:cs="宋体-PUA"/>
                <w:color w:val="auto"/>
                <w:kern w:val="0"/>
                <w:sz w:val="28"/>
                <w:szCs w:val="28"/>
                <w:highlight w:val="none"/>
              </w:rPr>
              <w:t>．一级资本充足率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13.31</w:t>
            </w:r>
            <w:r>
              <w:rPr>
                <w:rFonts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10</w:t>
            </w:r>
            <w:r>
              <w:rPr>
                <w:rFonts w:hint="eastAsia" w:ascii="仿宋_GB2312" w:hAnsi="宋体-PUA" w:eastAsia="仿宋_GB2312" w:cs="宋体-PUA"/>
                <w:color w:val="auto"/>
                <w:kern w:val="0"/>
                <w:sz w:val="28"/>
                <w:szCs w:val="28"/>
                <w:highlight w:val="none"/>
              </w:rPr>
              <w:t>．资本充足率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14.41</w:t>
            </w:r>
            <w:r>
              <w:rPr>
                <w:rFonts w:ascii="仿宋_GB2312" w:hAnsi="宋体" w:eastAsia="仿宋_GB2312" w:cs="宋体"/>
                <w:color w:val="auto"/>
                <w:kern w:val="0"/>
                <w:sz w:val="28"/>
                <w:szCs w:val="28"/>
                <w:highlight w:val="none"/>
              </w:rPr>
              <w:t>%</w:t>
            </w:r>
          </w:p>
        </w:tc>
      </w:tr>
    </w:tbl>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2.4</w:t>
      </w:r>
      <w:r>
        <w:rPr>
          <w:rFonts w:hint="eastAsia" w:ascii="仿宋_GB2312" w:hAnsi="宋体" w:eastAsia="仿宋_GB2312" w:cs="宋体"/>
          <w:b/>
          <w:color w:val="auto"/>
          <w:kern w:val="0"/>
          <w:sz w:val="32"/>
          <w:szCs w:val="32"/>
          <w:highlight w:val="none"/>
        </w:rPr>
        <w:t>利润实现情况</w:t>
      </w:r>
    </w:p>
    <w:p>
      <w:pPr>
        <w:widowControl/>
        <w:shd w:val="clear" w:color="auto" w:fill="FFFFFF"/>
        <w:spacing w:line="480" w:lineRule="exact"/>
        <w:ind w:firstLine="624" w:firstLineChars="200"/>
        <w:jc w:val="left"/>
        <w:rPr>
          <w:rFonts w:ascii="仿宋_GB2312" w:hAnsi="宋体" w:eastAsia="仿宋_GB2312" w:cs="宋体"/>
          <w:color w:val="auto"/>
          <w:spacing w:val="-4"/>
          <w:kern w:val="0"/>
          <w:sz w:val="32"/>
          <w:szCs w:val="32"/>
          <w:highlight w:val="none"/>
        </w:rPr>
      </w:pPr>
      <w:r>
        <w:rPr>
          <w:rFonts w:hint="eastAsia" w:ascii="仿宋_GB2312" w:hAnsi="宋体" w:eastAsia="仿宋_GB2312" w:cs="宋体"/>
          <w:color w:val="auto"/>
          <w:spacing w:val="-4"/>
          <w:kern w:val="0"/>
          <w:sz w:val="32"/>
          <w:szCs w:val="32"/>
          <w:highlight w:val="none"/>
        </w:rPr>
        <w:t>全行</w:t>
      </w:r>
      <w:r>
        <w:rPr>
          <w:rFonts w:ascii="仿宋_GB2312" w:hAnsi="宋体" w:eastAsia="仿宋_GB2312" w:cs="宋体"/>
          <w:color w:val="auto"/>
          <w:spacing w:val="-4"/>
          <w:kern w:val="0"/>
          <w:sz w:val="32"/>
          <w:szCs w:val="32"/>
          <w:highlight w:val="none"/>
        </w:rPr>
        <w:t>2022</w:t>
      </w:r>
      <w:r>
        <w:rPr>
          <w:rFonts w:hint="eastAsia" w:ascii="仿宋_GB2312" w:hAnsi="宋体" w:eastAsia="仿宋_GB2312" w:cs="宋体"/>
          <w:color w:val="auto"/>
          <w:spacing w:val="-4"/>
          <w:kern w:val="0"/>
          <w:sz w:val="32"/>
          <w:szCs w:val="32"/>
          <w:highlight w:val="none"/>
        </w:rPr>
        <w:t>年实现净利润</w:t>
      </w:r>
      <w:r>
        <w:rPr>
          <w:rFonts w:ascii="仿宋_GB2312" w:hAnsi="宋体" w:eastAsia="仿宋_GB2312" w:cs="宋体"/>
          <w:color w:val="auto"/>
          <w:spacing w:val="-4"/>
          <w:kern w:val="0"/>
          <w:sz w:val="32"/>
          <w:szCs w:val="32"/>
          <w:highlight w:val="none"/>
        </w:rPr>
        <w:t>15224.12</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同比增</w:t>
      </w:r>
      <w:r>
        <w:rPr>
          <w:rFonts w:ascii="仿宋_GB2312" w:hAnsi="宋体" w:eastAsia="仿宋_GB2312" w:cs="宋体"/>
          <w:color w:val="auto"/>
          <w:spacing w:val="-4"/>
          <w:kern w:val="0"/>
          <w:sz w:val="32"/>
          <w:szCs w:val="32"/>
          <w:highlight w:val="none"/>
        </w:rPr>
        <w:t>加224.11</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增幅</w:t>
      </w:r>
      <w:r>
        <w:rPr>
          <w:rFonts w:ascii="仿宋_GB2312" w:hAnsi="宋体" w:eastAsia="仿宋_GB2312" w:cs="宋体"/>
          <w:color w:val="auto"/>
          <w:spacing w:val="-4"/>
          <w:kern w:val="0"/>
          <w:sz w:val="32"/>
          <w:szCs w:val="32"/>
          <w:highlight w:val="none"/>
        </w:rPr>
        <w:t>1.49%</w:t>
      </w:r>
      <w:r>
        <w:rPr>
          <w:rFonts w:hint="eastAsia" w:ascii="仿宋_GB2312" w:hAnsi="宋体" w:eastAsia="仿宋_GB2312" w:cs="宋体"/>
          <w:color w:val="auto"/>
          <w:spacing w:val="-4"/>
          <w:kern w:val="0"/>
          <w:sz w:val="32"/>
          <w:szCs w:val="32"/>
          <w:highlight w:val="none"/>
        </w:rPr>
        <w:t>。</w:t>
      </w:r>
    </w:p>
    <w:p>
      <w:pPr>
        <w:widowControl/>
        <w:shd w:val="clear" w:color="auto" w:fill="FFFFFF"/>
        <w:spacing w:line="480" w:lineRule="exact"/>
        <w:ind w:firstLine="640" w:firstLineChars="200"/>
        <w:jc w:val="left"/>
        <w:rPr>
          <w:rFonts w:ascii="宋体" w:cs="宋体"/>
          <w:kern w:val="0"/>
          <w:sz w:val="32"/>
          <w:szCs w:val="32"/>
        </w:rPr>
      </w:pPr>
      <w:r>
        <w:rPr>
          <w:rFonts w:hint="eastAsia" w:ascii="黑体" w:hAnsi="宋体" w:eastAsia="黑体" w:cs="宋体"/>
          <w:kern w:val="0"/>
          <w:sz w:val="32"/>
          <w:szCs w:val="32"/>
        </w:rPr>
        <w:t>三、董事、监事、高级管理层人员和员工情况</w:t>
      </w:r>
    </w:p>
    <w:p>
      <w:pPr>
        <w:widowControl/>
        <w:shd w:val="clear" w:color="auto" w:fill="FFFFFF"/>
        <w:tabs>
          <w:tab w:val="left" w:pos="630"/>
        </w:tabs>
        <w:spacing w:line="480" w:lineRule="exact"/>
        <w:ind w:firstLine="643" w:firstLineChars="200"/>
        <w:jc w:val="left"/>
        <w:rPr>
          <w:rFonts w:ascii="宋体" w:cs="宋体"/>
          <w:kern w:val="0"/>
          <w:sz w:val="32"/>
          <w:szCs w:val="32"/>
        </w:rPr>
      </w:pPr>
      <w:r>
        <w:rPr>
          <w:rFonts w:ascii="仿宋_GB2312" w:hAnsi="宋体" w:eastAsia="仿宋_GB2312" w:cs="宋体"/>
          <w:b/>
          <w:kern w:val="0"/>
          <w:sz w:val="32"/>
          <w:szCs w:val="32"/>
        </w:rPr>
        <w:t>3.1</w:t>
      </w:r>
      <w:r>
        <w:rPr>
          <w:rFonts w:hint="eastAsia" w:ascii="仿宋_GB2312" w:hAnsi="宋体" w:eastAsia="仿宋_GB2312" w:cs="宋体"/>
          <w:b/>
          <w:kern w:val="0"/>
          <w:sz w:val="32"/>
          <w:szCs w:val="32"/>
        </w:rPr>
        <w:t>董事</w:t>
      </w:r>
    </w:p>
    <w:tbl>
      <w:tblPr>
        <w:tblStyle w:val="6"/>
        <w:tblW w:w="8280" w:type="dxa"/>
        <w:jc w:val="center"/>
        <w:tblInd w:w="0" w:type="dxa"/>
        <w:tblLayout w:type="fixed"/>
        <w:tblCellMar>
          <w:top w:w="0" w:type="dxa"/>
          <w:left w:w="108" w:type="dxa"/>
          <w:bottom w:w="0" w:type="dxa"/>
          <w:right w:w="108" w:type="dxa"/>
        </w:tblCellMar>
      </w:tblPr>
      <w:tblGrid>
        <w:gridCol w:w="915"/>
        <w:gridCol w:w="1965"/>
        <w:gridCol w:w="1800"/>
        <w:gridCol w:w="3600"/>
      </w:tblGrid>
      <w:tr>
        <w:tblPrEx>
          <w:tblLayout w:type="fixed"/>
          <w:tblCellMar>
            <w:top w:w="0" w:type="dxa"/>
            <w:left w:w="108" w:type="dxa"/>
            <w:bottom w:w="0" w:type="dxa"/>
            <w:right w:w="108" w:type="dxa"/>
          </w:tblCellMar>
        </w:tblPrEx>
        <w:trPr>
          <w:trHeight w:val="3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序号</w:t>
            </w:r>
          </w:p>
        </w:tc>
        <w:tc>
          <w:tcPr>
            <w:tcW w:w="19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姓名</w:t>
            </w:r>
          </w:p>
        </w:tc>
        <w:tc>
          <w:tcPr>
            <w:tcW w:w="18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姓别</w:t>
            </w:r>
          </w:p>
        </w:tc>
        <w:tc>
          <w:tcPr>
            <w:tcW w:w="36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任职</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1</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舒洪泉</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董事长、</w:t>
            </w:r>
            <w:r>
              <w:rPr>
                <w:rFonts w:hint="eastAsia" w:ascii="仿宋_GB2312" w:hAnsi="宋体-PUA" w:eastAsia="仿宋_GB2312" w:cs="宋体-PUA"/>
                <w:kern w:val="0"/>
                <w:sz w:val="28"/>
                <w:szCs w:val="28"/>
              </w:rPr>
              <w:t>党委书记</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ascii="仿宋_GB2312" w:hAnsi="宋体-PUA" w:eastAsia="仿宋_GB2312" w:cs="宋体-PUA"/>
                <w:sz w:val="28"/>
                <w:szCs w:val="28"/>
              </w:rPr>
              <w:t>2</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应胜军</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r>
              <w:rPr>
                <w:rFonts w:hint="eastAsia" w:ascii="仿宋_GB2312" w:hAnsi="宋体-PUA" w:eastAsia="仿宋_GB2312" w:cs="宋体-PUA"/>
                <w:kern w:val="0"/>
                <w:sz w:val="28"/>
                <w:szCs w:val="28"/>
              </w:rPr>
              <w:t>党委委员</w:t>
            </w:r>
          </w:p>
        </w:tc>
      </w:tr>
      <w:tr>
        <w:tblPrEx>
          <w:tblLayout w:type="fixed"/>
          <w:tblCellMar>
            <w:top w:w="0" w:type="dxa"/>
            <w:left w:w="108" w:type="dxa"/>
            <w:bottom w:w="0" w:type="dxa"/>
            <w:right w:w="108" w:type="dxa"/>
          </w:tblCellMar>
        </w:tblPrEx>
        <w:trPr>
          <w:trHeight w:val="249"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3</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王建平</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r>
              <w:rPr>
                <w:rFonts w:hint="eastAsia" w:ascii="仿宋_GB2312" w:hAnsi="宋体-PUA" w:eastAsia="仿宋_GB2312" w:cs="宋体-PUA"/>
                <w:kern w:val="0"/>
                <w:sz w:val="28"/>
                <w:szCs w:val="28"/>
              </w:rPr>
              <w:t>党委委员</w:t>
            </w:r>
          </w:p>
        </w:tc>
      </w:tr>
      <w:tr>
        <w:tblPrEx>
          <w:tblLayout w:type="fixed"/>
          <w:tblCellMar>
            <w:top w:w="0" w:type="dxa"/>
            <w:left w:w="108" w:type="dxa"/>
            <w:bottom w:w="0" w:type="dxa"/>
            <w:right w:w="108" w:type="dxa"/>
          </w:tblCellMar>
        </w:tblPrEx>
        <w:trPr>
          <w:trHeight w:val="9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4</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陈桂平</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p>
        </w:tc>
      </w:tr>
      <w:tr>
        <w:tblPrEx>
          <w:tblLayout w:type="fixed"/>
          <w:tblCellMar>
            <w:top w:w="0" w:type="dxa"/>
            <w:left w:w="108" w:type="dxa"/>
            <w:bottom w:w="0" w:type="dxa"/>
            <w:right w:w="108" w:type="dxa"/>
          </w:tblCellMar>
        </w:tblPrEx>
        <w:trPr>
          <w:trHeight w:val="43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5</w:t>
            </w:r>
          </w:p>
        </w:tc>
        <w:tc>
          <w:tcPr>
            <w:tcW w:w="1965" w:type="dxa"/>
            <w:tcBorders>
              <w:top w:val="single" w:color="auto" w:sz="4" w:space="0"/>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王志洪</w:t>
            </w:r>
          </w:p>
        </w:tc>
        <w:tc>
          <w:tcPr>
            <w:tcW w:w="1800" w:type="dxa"/>
            <w:tcBorders>
              <w:top w:val="single" w:color="auto" w:sz="4" w:space="0"/>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p>
        </w:tc>
      </w:tr>
      <w:tr>
        <w:tblPrEx>
          <w:tblLayout w:type="fixed"/>
          <w:tblCellMar>
            <w:top w:w="0" w:type="dxa"/>
            <w:left w:w="108" w:type="dxa"/>
            <w:bottom w:w="0" w:type="dxa"/>
            <w:right w:w="108" w:type="dxa"/>
          </w:tblCellMar>
        </w:tblPrEx>
        <w:trPr>
          <w:trHeight w:val="24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6</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熊晋</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p>
        </w:tc>
      </w:tr>
      <w:tr>
        <w:tblPrEx>
          <w:tblLayout w:type="fixed"/>
          <w:tblCellMar>
            <w:top w:w="0" w:type="dxa"/>
            <w:left w:w="108" w:type="dxa"/>
            <w:bottom w:w="0" w:type="dxa"/>
            <w:right w:w="108" w:type="dxa"/>
          </w:tblCellMar>
        </w:tblPrEx>
        <w:trPr>
          <w:trHeight w:val="2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7</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徐娟</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8</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罗群</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9</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罗时通</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10</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陈一鸣</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王晓安</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独立董事</w:t>
            </w:r>
          </w:p>
        </w:tc>
      </w:tr>
    </w:tbl>
    <w:p>
      <w:pPr>
        <w:widowControl/>
        <w:shd w:val="clear" w:color="auto" w:fill="FFFFFF"/>
        <w:tabs>
          <w:tab w:val="left" w:pos="630"/>
        </w:tabs>
        <w:spacing w:line="400" w:lineRule="exact"/>
        <w:ind w:firstLine="630" w:firstLineChars="196"/>
        <w:jc w:val="left"/>
        <w:rPr>
          <w:rFonts w:ascii="仿宋_GB2312" w:hAnsi="宋体" w:eastAsia="仿宋_GB2312" w:cs="宋体"/>
          <w:b/>
          <w:kern w:val="0"/>
          <w:sz w:val="32"/>
          <w:szCs w:val="32"/>
        </w:rPr>
      </w:pPr>
    </w:p>
    <w:p>
      <w:pPr>
        <w:widowControl/>
        <w:shd w:val="clear" w:color="auto" w:fill="FFFFFF"/>
        <w:tabs>
          <w:tab w:val="left" w:pos="630"/>
        </w:tabs>
        <w:spacing w:line="400" w:lineRule="exact"/>
        <w:ind w:firstLine="630" w:firstLineChars="196"/>
        <w:jc w:val="left"/>
        <w:rPr>
          <w:rFonts w:ascii="仿宋_GB2312" w:hAnsi="宋体" w:eastAsia="仿宋_GB2312" w:cs="宋体"/>
          <w:b/>
          <w:kern w:val="0"/>
          <w:sz w:val="32"/>
          <w:szCs w:val="32"/>
        </w:rPr>
      </w:pPr>
      <w:r>
        <w:rPr>
          <w:rFonts w:ascii="仿宋_GB2312" w:hAnsi="宋体" w:eastAsia="仿宋_GB2312" w:cs="宋体"/>
          <w:b/>
          <w:kern w:val="0"/>
          <w:sz w:val="32"/>
          <w:szCs w:val="32"/>
        </w:rPr>
        <w:t>3.2</w:t>
      </w:r>
      <w:r>
        <w:rPr>
          <w:rFonts w:hint="eastAsia" w:ascii="仿宋_GB2312" w:hAnsi="宋体" w:eastAsia="仿宋_GB2312" w:cs="宋体"/>
          <w:b/>
          <w:kern w:val="0"/>
          <w:sz w:val="32"/>
          <w:szCs w:val="32"/>
        </w:rPr>
        <w:t>监事</w:t>
      </w:r>
    </w:p>
    <w:tbl>
      <w:tblPr>
        <w:tblStyle w:val="6"/>
        <w:tblW w:w="8280" w:type="dxa"/>
        <w:jc w:val="center"/>
        <w:tblInd w:w="0" w:type="dxa"/>
        <w:tblLayout w:type="fixed"/>
        <w:tblCellMar>
          <w:top w:w="0" w:type="dxa"/>
          <w:left w:w="108" w:type="dxa"/>
          <w:bottom w:w="0" w:type="dxa"/>
          <w:right w:w="108" w:type="dxa"/>
        </w:tblCellMar>
      </w:tblPr>
      <w:tblGrid>
        <w:gridCol w:w="915"/>
        <w:gridCol w:w="1965"/>
        <w:gridCol w:w="1980"/>
        <w:gridCol w:w="3420"/>
      </w:tblGrid>
      <w:tr>
        <w:tblPrEx>
          <w:tblLayout w:type="fixed"/>
          <w:tblCellMar>
            <w:top w:w="0" w:type="dxa"/>
            <w:left w:w="108" w:type="dxa"/>
            <w:bottom w:w="0" w:type="dxa"/>
            <w:right w:w="108" w:type="dxa"/>
          </w:tblCellMar>
        </w:tblPrEx>
        <w:trPr>
          <w:trHeight w:val="4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序号</w:t>
            </w:r>
          </w:p>
        </w:tc>
        <w:tc>
          <w:tcPr>
            <w:tcW w:w="19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姓名</w:t>
            </w:r>
          </w:p>
        </w:tc>
        <w:tc>
          <w:tcPr>
            <w:tcW w:w="1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姓别</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ascii="仿宋_GB2312" w:hAnsi="宋体" w:eastAsia="仿宋_GB2312" w:cs="宋体"/>
                <w:sz w:val="28"/>
                <w:szCs w:val="28"/>
              </w:rPr>
              <w:t>1</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刘挺</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监事长、纪委书记</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2</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王尔鹏</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3</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何武纵</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谌思梦</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5</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梁斌</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6</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贾宇</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7</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徐环</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bl>
    <w:p>
      <w:pPr>
        <w:widowControl/>
        <w:shd w:val="clear" w:color="auto" w:fill="FFFFFF"/>
        <w:tabs>
          <w:tab w:val="left" w:pos="630"/>
        </w:tabs>
        <w:spacing w:line="400" w:lineRule="exact"/>
        <w:ind w:firstLine="643" w:firstLineChars="200"/>
        <w:jc w:val="left"/>
        <w:rPr>
          <w:rFonts w:ascii="宋体" w:cs="宋体"/>
          <w:kern w:val="0"/>
          <w:sz w:val="32"/>
          <w:szCs w:val="32"/>
        </w:rPr>
      </w:pPr>
      <w:r>
        <w:rPr>
          <w:rFonts w:ascii="仿宋_GB2312" w:hAnsi="宋体" w:eastAsia="仿宋_GB2312" w:cs="宋体"/>
          <w:b/>
          <w:kern w:val="0"/>
          <w:sz w:val="32"/>
          <w:szCs w:val="32"/>
        </w:rPr>
        <w:t>3.3</w:t>
      </w:r>
      <w:r>
        <w:rPr>
          <w:rFonts w:hint="eastAsia" w:ascii="仿宋_GB2312" w:hAnsi="宋体" w:eastAsia="仿宋_GB2312" w:cs="宋体"/>
          <w:b/>
          <w:kern w:val="0"/>
          <w:sz w:val="32"/>
          <w:szCs w:val="32"/>
        </w:rPr>
        <w:t>高级管理层</w:t>
      </w:r>
    </w:p>
    <w:tbl>
      <w:tblPr>
        <w:tblStyle w:val="6"/>
        <w:tblW w:w="8484" w:type="dxa"/>
        <w:jc w:val="center"/>
        <w:tblInd w:w="0" w:type="dxa"/>
        <w:tblLayout w:type="fixed"/>
        <w:tblCellMar>
          <w:top w:w="0" w:type="dxa"/>
          <w:left w:w="108" w:type="dxa"/>
          <w:bottom w:w="0" w:type="dxa"/>
          <w:right w:w="108" w:type="dxa"/>
        </w:tblCellMar>
      </w:tblPr>
      <w:tblGrid>
        <w:gridCol w:w="834"/>
        <w:gridCol w:w="1275"/>
        <w:gridCol w:w="780"/>
        <w:gridCol w:w="1815"/>
        <w:gridCol w:w="1110"/>
        <w:gridCol w:w="2670"/>
      </w:tblGrid>
      <w:tr>
        <w:tblPrEx>
          <w:tblLayout w:type="fixed"/>
          <w:tblCellMar>
            <w:top w:w="0" w:type="dxa"/>
            <w:left w:w="108" w:type="dxa"/>
            <w:bottom w:w="0" w:type="dxa"/>
            <w:right w:w="108" w:type="dxa"/>
          </w:tblCellMar>
        </w:tblPrEx>
        <w:trPr>
          <w:trHeight w:val="55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序号</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姓名</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性别</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职务</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从业</w:t>
            </w:r>
          </w:p>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年限</w:t>
            </w:r>
          </w:p>
        </w:tc>
        <w:tc>
          <w:tcPr>
            <w:tcW w:w="26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rPr>
            </w:pPr>
            <w:r>
              <w:rPr>
                <w:rFonts w:hint="eastAsia" w:ascii="黑体" w:hAnsi="黑体" w:eastAsia="黑体" w:cs="黑体"/>
                <w:b/>
                <w:bCs/>
                <w:kern w:val="0"/>
                <w:sz w:val="24"/>
              </w:rPr>
              <w:t>分管工作范围</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应胜军</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PUA" w:eastAsia="仿宋_GB2312" w:cs="宋体-PUA"/>
                <w:kern w:val="0"/>
                <w:sz w:val="28"/>
                <w:szCs w:val="28"/>
                <w:lang w:val="en-US" w:eastAsia="zh-CN"/>
              </w:rPr>
            </w:pPr>
            <w:r>
              <w:rPr>
                <w:rFonts w:hint="eastAsia" w:ascii="仿宋_GB2312" w:hAnsi="宋体-PUA" w:eastAsia="仿宋_GB2312" w:cs="宋体-PUA"/>
                <w:kern w:val="0"/>
                <w:sz w:val="28"/>
                <w:szCs w:val="28"/>
              </w:rPr>
              <w:t>党委委员、行长</w:t>
            </w:r>
            <w:r>
              <w:rPr>
                <w:rFonts w:hint="eastAsia" w:ascii="仿宋_GB2312" w:hAnsi="宋体-PUA" w:eastAsia="仿宋_GB2312" w:cs="宋体-PUA"/>
                <w:kern w:val="0"/>
                <w:sz w:val="28"/>
                <w:szCs w:val="28"/>
                <w:lang w:val="en-US" w:eastAsia="zh-CN"/>
              </w:rPr>
              <w:t>(任至11月）</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5</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主持日常经营工作，并履行经营班子职责，分管信贷管理部、运营管理部、风险合规部工作。</w:t>
            </w:r>
          </w:p>
        </w:tc>
      </w:tr>
      <w:tr>
        <w:tblPrEx>
          <w:tblLayout w:type="fixed"/>
          <w:tblCellMar>
            <w:top w:w="0" w:type="dxa"/>
            <w:left w:w="108" w:type="dxa"/>
            <w:bottom w:w="0" w:type="dxa"/>
            <w:right w:w="108" w:type="dxa"/>
          </w:tblCellMar>
        </w:tblPrEx>
        <w:trPr>
          <w:trHeight w:val="2235"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PUA" w:eastAsia="仿宋_GB2312" w:cs="宋体-PUA"/>
                <w:kern w:val="0"/>
                <w:sz w:val="28"/>
                <w:szCs w:val="28"/>
                <w:lang w:eastAsia="zh-CN"/>
              </w:rPr>
              <w:t>游冬</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PUA" w:eastAsia="仿宋_GB2312" w:cs="宋体-PUA"/>
                <w:kern w:val="0"/>
                <w:sz w:val="28"/>
                <w:szCs w:val="28"/>
                <w:lang w:eastAsia="zh-CN"/>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rPr>
            </w:pPr>
            <w:r>
              <w:rPr>
                <w:rFonts w:hint="eastAsia" w:ascii="仿宋_GB2312" w:hAnsi="宋体-PUA" w:eastAsia="仿宋_GB2312" w:cs="宋体-PUA"/>
                <w:kern w:val="0"/>
                <w:sz w:val="28"/>
                <w:szCs w:val="28"/>
              </w:rPr>
              <w:t>党委委员、行长</w:t>
            </w:r>
            <w:r>
              <w:rPr>
                <w:rFonts w:hint="eastAsia" w:ascii="仿宋_GB2312" w:hAnsi="宋体-PUA" w:eastAsia="仿宋_GB2312" w:cs="宋体-PUA"/>
                <w:kern w:val="0"/>
                <w:sz w:val="28"/>
                <w:szCs w:val="28"/>
                <w:lang w:val="en-US" w:eastAsia="zh-CN"/>
              </w:rPr>
              <w:t>(自12月起任）</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12</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rPr>
            </w:pPr>
            <w:r>
              <w:rPr>
                <w:rFonts w:hint="eastAsia" w:ascii="仿宋_GB2312" w:hAnsi="宋体-PUA" w:eastAsia="仿宋_GB2312" w:cs="宋体-PUA"/>
                <w:kern w:val="0"/>
                <w:sz w:val="28"/>
                <w:szCs w:val="28"/>
              </w:rPr>
              <w:t>主持日常经营工作，并履行经营班子职责，分管信贷管理部、运营管理部、风险合规部工作。</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王建平</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党委委员、副行长</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5</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负责综治维稳、工会、团委工作，分管安全保卫部、监控中心、金融市场部，兼任工会主席，主持工会工作，兼任三农事业部和普惠金融事业部总经理。</w:t>
            </w:r>
          </w:p>
        </w:tc>
      </w:tr>
      <w:tr>
        <w:tblPrEx>
          <w:tblLayout w:type="fixed"/>
          <w:tblCellMar>
            <w:top w:w="0" w:type="dxa"/>
            <w:left w:w="108" w:type="dxa"/>
            <w:bottom w:w="0" w:type="dxa"/>
            <w:right w:w="108" w:type="dxa"/>
          </w:tblCellMar>
        </w:tblPrEx>
        <w:trPr>
          <w:trHeight w:val="561"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 w:eastAsia="仿宋_GB2312" w:cs="宋体"/>
                <w:kern w:val="0"/>
                <w:sz w:val="28"/>
                <w:szCs w:val="28"/>
                <w:lang w:val="en-US" w:eastAsia="zh-CN"/>
              </w:rPr>
              <w:t>4</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付培平</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党委委员、副行长</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9</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负责宣传工作，分管财务管理部、业务拓展部、办公室，兼任清收事业部总经理。</w:t>
            </w:r>
          </w:p>
        </w:tc>
      </w:tr>
      <w:tr>
        <w:tblPrEx>
          <w:tblLayout w:type="fixed"/>
          <w:tblCellMar>
            <w:top w:w="0" w:type="dxa"/>
            <w:left w:w="108" w:type="dxa"/>
            <w:bottom w:w="0" w:type="dxa"/>
            <w:right w:w="108" w:type="dxa"/>
          </w:tblCellMar>
        </w:tblPrEx>
        <w:trPr>
          <w:trHeight w:val="188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 w:eastAsia="仿宋_GB2312" w:cs="宋体"/>
                <w:kern w:val="0"/>
                <w:sz w:val="28"/>
                <w:szCs w:val="28"/>
                <w:lang w:val="en-US" w:eastAsia="zh-CN"/>
              </w:rPr>
              <w:t>5</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江华</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董事会秘书</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1</w:t>
            </w:r>
            <w:r>
              <w:rPr>
                <w:rFonts w:hint="eastAsia" w:ascii="仿宋_GB2312" w:hAnsi="宋体-PUA" w:eastAsia="仿宋_GB2312" w:cs="宋体-PUA"/>
                <w:kern w:val="0"/>
                <w:sz w:val="28"/>
                <w:szCs w:val="28"/>
                <w:lang w:val="en-US" w:eastAsia="zh-CN"/>
              </w:rPr>
              <w:t>6</w:t>
            </w:r>
            <w:r>
              <w:rPr>
                <w:rFonts w:hint="eastAsia" w:ascii="仿宋_GB2312" w:hAnsi="宋体-PUA" w:eastAsia="仿宋_GB2312" w:cs="宋体-PUA"/>
                <w:kern w:val="0"/>
                <w:sz w:val="28"/>
                <w:szCs w:val="28"/>
              </w:rPr>
              <w:t xml:space="preserve"> </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对外负责本行信息披露，对内负责董事会会议和股东大会会议的具体工作。</w:t>
            </w:r>
          </w:p>
        </w:tc>
      </w:tr>
      <w:tr>
        <w:tblPrEx>
          <w:tblLayout w:type="fixed"/>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 w:eastAsia="仿宋_GB2312" w:cs="宋体"/>
                <w:kern w:val="0"/>
                <w:sz w:val="28"/>
                <w:szCs w:val="28"/>
                <w:lang w:val="en-US" w:eastAsia="zh-CN"/>
              </w:rPr>
              <w:t>6</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何武纵</w:t>
            </w:r>
          </w:p>
        </w:tc>
        <w:tc>
          <w:tcPr>
            <w:tcW w:w="7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风险合规部总经理</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7</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负责本行的风险合规具体工作</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 w:eastAsia="仿宋_GB2312" w:cs="宋体"/>
                <w:kern w:val="0"/>
                <w:sz w:val="28"/>
                <w:szCs w:val="28"/>
                <w:lang w:val="en-US" w:eastAsia="zh-CN"/>
              </w:rPr>
              <w:t>7</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谢景春</w:t>
            </w:r>
          </w:p>
        </w:tc>
        <w:tc>
          <w:tcPr>
            <w:tcW w:w="7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审计部总经理</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4</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负责本行的审计具体工作</w:t>
            </w:r>
          </w:p>
        </w:tc>
      </w:tr>
      <w:tr>
        <w:tblPrEx>
          <w:tblLayout w:type="fixed"/>
          <w:tblCellMar>
            <w:top w:w="0" w:type="dxa"/>
            <w:left w:w="108" w:type="dxa"/>
            <w:bottom w:w="0" w:type="dxa"/>
            <w:right w:w="108" w:type="dxa"/>
          </w:tblCellMar>
        </w:tblPrEx>
        <w:trPr>
          <w:trHeight w:val="5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lang w:eastAsia="zh-CN"/>
              </w:rPr>
            </w:pPr>
            <w:r>
              <w:rPr>
                <w:rFonts w:hint="eastAsia" w:ascii="仿宋_GB2312" w:hAnsi="宋体" w:eastAsia="仿宋_GB2312" w:cs="宋体"/>
                <w:kern w:val="0"/>
                <w:sz w:val="28"/>
                <w:szCs w:val="28"/>
                <w:lang w:val="en-US" w:eastAsia="zh-CN"/>
              </w:rPr>
              <w:t>8</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朱晋琪</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女</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财务管理部总经理</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5</w:t>
            </w:r>
          </w:p>
        </w:tc>
        <w:tc>
          <w:tcPr>
            <w:tcW w:w="26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负责本行的财务管理具体工作</w:t>
            </w:r>
          </w:p>
        </w:tc>
      </w:tr>
    </w:tbl>
    <w:p>
      <w:pPr>
        <w:widowControl/>
        <w:shd w:val="clear" w:color="auto" w:fill="FFFFFF"/>
        <w:tabs>
          <w:tab w:val="left" w:pos="630"/>
        </w:tabs>
        <w:spacing w:line="520" w:lineRule="exact"/>
        <w:ind w:firstLine="643" w:firstLineChars="200"/>
        <w:jc w:val="left"/>
        <w:rPr>
          <w:rFonts w:ascii="宋体" w:eastAsia="仿宋_GB2312" w:cs="宋体"/>
          <w:color w:val="FF0000"/>
          <w:kern w:val="0"/>
          <w:sz w:val="32"/>
          <w:szCs w:val="32"/>
          <w:highlight w:val="none"/>
        </w:rPr>
      </w:pPr>
      <w:r>
        <w:rPr>
          <w:rFonts w:ascii="仿宋_GB2312" w:hAnsi="宋体" w:eastAsia="仿宋_GB2312" w:cs="宋体"/>
          <w:b/>
          <w:kern w:val="0"/>
          <w:sz w:val="32"/>
          <w:szCs w:val="32"/>
          <w:highlight w:val="none"/>
        </w:rPr>
        <w:t>3.4</w:t>
      </w:r>
      <w:r>
        <w:rPr>
          <w:rFonts w:hint="eastAsia" w:ascii="仿宋_GB2312" w:hAnsi="宋体" w:eastAsia="仿宋_GB2312" w:cs="宋体"/>
          <w:b/>
          <w:kern w:val="0"/>
          <w:sz w:val="32"/>
          <w:szCs w:val="32"/>
          <w:highlight w:val="none"/>
        </w:rPr>
        <w:t>员工情况</w:t>
      </w:r>
    </w:p>
    <w:p>
      <w:pPr>
        <w:widowControl/>
        <w:shd w:val="clear" w:color="auto" w:fill="FFFFFF"/>
        <w:spacing w:line="52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2022年末，全行在职员工359人。按受教育程度分：研究生6人，本科267人，专科62人，中专以下24人。</w:t>
      </w:r>
    </w:p>
    <w:p>
      <w:pPr>
        <w:widowControl/>
        <w:shd w:val="clear" w:color="auto" w:fill="FFFFFF"/>
        <w:spacing w:line="520" w:lineRule="exact"/>
        <w:ind w:firstLine="640" w:firstLineChars="200"/>
        <w:jc w:val="left"/>
        <w:rPr>
          <w:rFonts w:ascii="宋体" w:cs="宋体"/>
          <w:kern w:val="0"/>
          <w:sz w:val="32"/>
          <w:szCs w:val="32"/>
        </w:rPr>
      </w:pPr>
      <w:r>
        <w:rPr>
          <w:rFonts w:hint="eastAsia" w:ascii="黑体" w:hAnsi="宋体" w:eastAsia="黑体" w:cs="宋体"/>
          <w:kern w:val="0"/>
          <w:sz w:val="32"/>
          <w:szCs w:val="32"/>
        </w:rPr>
        <w:t>四、公司治理结构</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w:t>
      </w:r>
      <w:r>
        <w:rPr>
          <w:rFonts w:hint="eastAsia" w:ascii="仿宋_GB2312" w:hAnsi="宋体" w:eastAsia="仿宋_GB2312" w:cs="宋体"/>
          <w:b/>
          <w:kern w:val="0"/>
          <w:sz w:val="32"/>
          <w:szCs w:val="32"/>
        </w:rPr>
        <w:t>机构设置情况</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4.1.1</w:t>
      </w:r>
      <w:r>
        <w:rPr>
          <w:rFonts w:hint="eastAsia" w:ascii="仿宋_GB2312" w:hAnsi="宋体" w:eastAsia="仿宋_GB2312" w:cs="宋体"/>
          <w:b/>
          <w:kern w:val="0"/>
          <w:sz w:val="32"/>
          <w:szCs w:val="32"/>
        </w:rPr>
        <w:t>股东大会</w:t>
      </w:r>
    </w:p>
    <w:p>
      <w:pPr>
        <w:widowControl/>
        <w:shd w:val="clear" w:color="auto" w:fill="FFFFFF"/>
        <w:spacing w:line="520" w:lineRule="exact"/>
        <w:ind w:firstLine="640" w:firstLineChars="200"/>
        <w:jc w:val="left"/>
        <w:rPr>
          <w:rFonts w:ascii="宋体" w:cs="宋体"/>
          <w:kern w:val="0"/>
          <w:sz w:val="32"/>
          <w:szCs w:val="32"/>
        </w:rPr>
      </w:pPr>
      <w:r>
        <w:rPr>
          <w:rFonts w:hint="eastAsia" w:ascii="仿宋_GB2312" w:hAnsi="宋体" w:eastAsia="仿宋_GB2312" w:cs="宋体"/>
          <w:kern w:val="0"/>
          <w:sz w:val="32"/>
          <w:szCs w:val="32"/>
        </w:rPr>
        <w:t>本行严格按照</w:t>
      </w:r>
      <w:r>
        <w:rPr>
          <w:rFonts w:hint="eastAsia" w:ascii="仿宋_GB2312" w:eastAsia="仿宋_GB2312"/>
          <w:sz w:val="32"/>
          <w:szCs w:val="32"/>
        </w:rPr>
        <w:t>《中华人民共和国公司法》、《中华人民共和国商业银行法》</w:t>
      </w:r>
      <w:r>
        <w:rPr>
          <w:rFonts w:hint="eastAsia" w:ascii="仿宋_GB2312" w:hAnsi="宋体" w:eastAsia="仿宋_GB2312" w:cs="宋体"/>
          <w:kern w:val="0"/>
          <w:sz w:val="32"/>
          <w:szCs w:val="32"/>
        </w:rPr>
        <w:t>及有关法规召集、召开股东大会，制定了股东大会议事规则，实行律师见证制度，保证股东依法行使权力。</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4.1.2</w:t>
      </w:r>
      <w:r>
        <w:rPr>
          <w:rFonts w:hint="eastAsia" w:ascii="仿宋_GB2312" w:hAnsi="宋体" w:eastAsia="仿宋_GB2312" w:cs="宋体"/>
          <w:b/>
          <w:kern w:val="0"/>
          <w:sz w:val="32"/>
          <w:szCs w:val="32"/>
        </w:rPr>
        <w:t>董事会</w:t>
      </w:r>
    </w:p>
    <w:p>
      <w:pPr>
        <w:widowControl/>
        <w:shd w:val="clear" w:color="auto" w:fill="FFFFFF"/>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本行董事会由</w:t>
      </w:r>
      <w:r>
        <w:rPr>
          <w:rFonts w:ascii="仿宋_GB2312" w:hAnsi="宋体" w:eastAsia="仿宋_GB2312" w:cs="宋体"/>
          <w:kern w:val="0"/>
          <w:sz w:val="32"/>
          <w:szCs w:val="32"/>
        </w:rPr>
        <w:t>11</w:t>
      </w:r>
      <w:r>
        <w:rPr>
          <w:rFonts w:hint="eastAsia" w:ascii="仿宋_GB2312" w:hAnsi="宋体" w:eastAsia="仿宋_GB2312" w:cs="宋体"/>
          <w:kern w:val="0"/>
          <w:sz w:val="32"/>
          <w:szCs w:val="32"/>
        </w:rPr>
        <w:t>名董事组成，设董事会秘书</w:t>
      </w:r>
      <w:r>
        <w:rPr>
          <w:rFonts w:ascii="仿宋_GB2312" w:hAnsi="宋体" w:eastAsia="仿宋_GB2312" w:cs="宋体"/>
          <w:kern w:val="0"/>
          <w:sz w:val="32"/>
          <w:szCs w:val="32"/>
        </w:rPr>
        <w:t>1</w:t>
      </w:r>
      <w:r>
        <w:rPr>
          <w:rFonts w:hint="eastAsia" w:ascii="仿宋_GB2312" w:hAnsi="宋体" w:eastAsia="仿宋_GB2312" w:cs="宋体"/>
          <w:kern w:val="0"/>
          <w:sz w:val="32"/>
          <w:szCs w:val="32"/>
        </w:rPr>
        <w:t>名。其中：</w:t>
      </w:r>
      <w:r>
        <w:rPr>
          <w:rFonts w:ascii="仿宋_GB2312" w:hAnsi="宋体" w:eastAsia="仿宋_GB2312" w:cs="宋体"/>
          <w:kern w:val="0"/>
          <w:sz w:val="32"/>
          <w:szCs w:val="32"/>
        </w:rPr>
        <w:t>3</w:t>
      </w:r>
      <w:r>
        <w:rPr>
          <w:rFonts w:hint="eastAsia" w:ascii="仿宋_GB2312" w:hAnsi="宋体" w:eastAsia="仿宋_GB2312" w:cs="宋体"/>
          <w:kern w:val="0"/>
          <w:sz w:val="32"/>
          <w:szCs w:val="32"/>
        </w:rPr>
        <w:t>名职工董事，</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名独立董事。董事会下设战略委员会、审计委员会、风险管理委员会、关联交易控制委员会、提名与薪酬委员会和“三农”委员会、消费者权益保护委员会，成立了董事会办公室。</w:t>
      </w:r>
    </w:p>
    <w:p>
      <w:pPr>
        <w:widowControl/>
        <w:shd w:val="clear" w:color="auto" w:fill="FFFFFF"/>
        <w:spacing w:line="520" w:lineRule="exact"/>
        <w:ind w:firstLine="640" w:firstLineChars="200"/>
        <w:jc w:val="left"/>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报告期内，董事会能够认真履行职责，维护本行和全体股东的利益。2022年，按照《江西高安农村商业银行股份有限公司章程》和《江西高安农村商业银行股份有限公司董事会议事规则》，</w:t>
      </w:r>
      <w:r>
        <w:rPr>
          <w:rFonts w:hint="eastAsia" w:ascii="仿宋_GB2312" w:hAnsi="宋体" w:eastAsia="仿宋_GB2312" w:cs="宋体"/>
          <w:kern w:val="0"/>
          <w:sz w:val="32"/>
          <w:szCs w:val="32"/>
          <w:highlight w:val="none"/>
        </w:rPr>
        <w:t>共召开董事会会议1</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次。会议审议通过了《高安农商银行202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年财务决算报告及202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年度财务预算方案》、《高安农商银行202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年利润分配方案》、《高安农商银行股金分红实施方案》等议案</w:t>
      </w:r>
      <w:r>
        <w:rPr>
          <w:rFonts w:hint="eastAsia" w:ascii="仿宋_GB2312" w:hAnsi="宋体" w:eastAsia="仿宋_GB2312" w:cs="宋体"/>
          <w:kern w:val="0"/>
          <w:sz w:val="32"/>
          <w:szCs w:val="32"/>
          <w:highlight w:val="none"/>
          <w:lang w:val="en-US" w:eastAsia="zh-CN"/>
        </w:rPr>
        <w:t>50</w:t>
      </w:r>
      <w:r>
        <w:rPr>
          <w:rFonts w:hint="eastAsia" w:ascii="仿宋_GB2312" w:hAnsi="宋体" w:eastAsia="仿宋_GB2312" w:cs="宋体"/>
          <w:kern w:val="0"/>
          <w:sz w:val="32"/>
          <w:szCs w:val="32"/>
          <w:highlight w:val="none"/>
        </w:rPr>
        <w:t>个。</w:t>
      </w:r>
      <w:r>
        <w:rPr>
          <w:rFonts w:hint="eastAsia" w:ascii="仿宋_GB2312" w:hAnsi="宋体" w:eastAsia="仿宋_GB2312" w:cs="宋体"/>
          <w:spacing w:val="-6"/>
          <w:kern w:val="0"/>
          <w:sz w:val="32"/>
          <w:szCs w:val="32"/>
          <w:highlight w:val="none"/>
        </w:rPr>
        <w:t>董事会下设的专门委员会都尽职尽责、规范运作，为董事会决策提供了有效支持。</w:t>
      </w:r>
    </w:p>
    <w:p>
      <w:pPr>
        <w:widowControl/>
        <w:shd w:val="clear" w:color="auto" w:fill="FFFFFF"/>
        <w:spacing w:line="520" w:lineRule="exact"/>
        <w:ind w:firstLine="616" w:firstLineChars="200"/>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highlight w:val="none"/>
        </w:rPr>
        <w:t>独立董事工作情况：202</w:t>
      </w:r>
      <w:r>
        <w:rPr>
          <w:rFonts w:hint="eastAsia" w:ascii="仿宋_GB2312" w:hAnsi="宋体" w:eastAsia="仿宋_GB2312" w:cs="宋体"/>
          <w:spacing w:val="-6"/>
          <w:kern w:val="0"/>
          <w:sz w:val="32"/>
          <w:szCs w:val="32"/>
          <w:highlight w:val="none"/>
          <w:lang w:val="en-US" w:eastAsia="zh-CN"/>
        </w:rPr>
        <w:t>2</w:t>
      </w:r>
      <w:r>
        <w:rPr>
          <w:rFonts w:hint="eastAsia" w:ascii="仿宋_GB2312" w:hAnsi="宋体" w:eastAsia="仿宋_GB2312" w:cs="宋体"/>
          <w:spacing w:val="-6"/>
          <w:kern w:val="0"/>
          <w:sz w:val="32"/>
          <w:szCs w:val="32"/>
          <w:highlight w:val="none"/>
        </w:rPr>
        <w:t>年本行独立董事严格按照《公司法》、法规及《章程》等的规定，忠实履行职责。报告期内，独立董事共参加股东大会</w:t>
      </w:r>
      <w:r>
        <w:rPr>
          <w:rFonts w:hint="eastAsia" w:ascii="仿宋_GB2312" w:hAnsi="宋体" w:eastAsia="仿宋_GB2312" w:cs="宋体"/>
          <w:spacing w:val="-6"/>
          <w:kern w:val="0"/>
          <w:sz w:val="32"/>
          <w:szCs w:val="32"/>
          <w:highlight w:val="none"/>
          <w:lang w:val="en-US" w:eastAsia="zh-CN"/>
        </w:rPr>
        <w:t>2</w:t>
      </w:r>
      <w:r>
        <w:rPr>
          <w:rFonts w:hint="eastAsia" w:ascii="仿宋_GB2312" w:hAnsi="宋体" w:eastAsia="仿宋_GB2312" w:cs="宋体"/>
          <w:spacing w:val="-6"/>
          <w:kern w:val="0"/>
          <w:sz w:val="32"/>
          <w:szCs w:val="32"/>
          <w:highlight w:val="none"/>
        </w:rPr>
        <w:t>次，参加董事会</w:t>
      </w:r>
      <w:r>
        <w:rPr>
          <w:rFonts w:hint="eastAsia" w:ascii="仿宋_GB2312" w:hAnsi="宋体" w:eastAsia="仿宋_GB2312" w:cs="宋体"/>
          <w:spacing w:val="-6"/>
          <w:kern w:val="0"/>
          <w:sz w:val="32"/>
          <w:szCs w:val="32"/>
          <w:highlight w:val="none"/>
          <w:lang w:val="en-US" w:eastAsia="zh-CN"/>
        </w:rPr>
        <w:t>15</w:t>
      </w:r>
      <w:r>
        <w:rPr>
          <w:rFonts w:hint="eastAsia" w:ascii="仿宋_GB2312" w:hAnsi="宋体" w:eastAsia="仿宋_GB2312" w:cs="宋体"/>
          <w:spacing w:val="-6"/>
          <w:kern w:val="0"/>
          <w:sz w:val="32"/>
          <w:szCs w:val="32"/>
          <w:highlight w:val="none"/>
        </w:rPr>
        <w:t>次，参加各专门委员会会议</w:t>
      </w:r>
      <w:r>
        <w:rPr>
          <w:rFonts w:hint="eastAsia" w:ascii="仿宋_GB2312" w:hAnsi="宋体" w:eastAsia="仿宋_GB2312" w:cs="宋体"/>
          <w:spacing w:val="-6"/>
          <w:kern w:val="0"/>
          <w:sz w:val="32"/>
          <w:szCs w:val="32"/>
          <w:highlight w:val="none"/>
          <w:lang w:val="en-US" w:eastAsia="zh-CN"/>
        </w:rPr>
        <w:t>10余</w:t>
      </w:r>
      <w:r>
        <w:rPr>
          <w:rFonts w:hint="eastAsia" w:ascii="仿宋_GB2312" w:hAnsi="宋体" w:eastAsia="仿宋_GB2312" w:cs="宋体"/>
          <w:spacing w:val="-6"/>
          <w:kern w:val="0"/>
          <w:sz w:val="32"/>
          <w:szCs w:val="32"/>
          <w:highlight w:val="none"/>
        </w:rPr>
        <w:t>次，不断加强同公司董事会、监事会、经营管理层之间的沟通合作，充分发挥独立董事的独立作用，增强公司董事会的科学决策和领导水平，维护了公司的整体利益，维护了全体股东尤其是中小股东的合法权益。对董事会、经营班子和相关人员，在履职过程中给予积极有效配合和支持，促进本行经营业绩提高和持续、稳定、健康向前发展。</w:t>
      </w:r>
    </w:p>
    <w:p>
      <w:pPr>
        <w:widowControl/>
        <w:shd w:val="clear" w:color="auto" w:fill="FFFFFF"/>
        <w:tabs>
          <w:tab w:val="left" w:pos="630"/>
        </w:tabs>
        <w:spacing w:line="520" w:lineRule="exact"/>
        <w:ind w:firstLine="643" w:firstLineChars="200"/>
        <w:jc w:val="left"/>
        <w:rPr>
          <w:rFonts w:ascii="仿宋_GB2312" w:hAnsi="宋体" w:eastAsia="仿宋_GB2312" w:cs="宋体"/>
          <w:b/>
          <w:color w:val="FF0000"/>
          <w:kern w:val="0"/>
          <w:sz w:val="32"/>
          <w:szCs w:val="32"/>
        </w:rPr>
      </w:pPr>
      <w:r>
        <w:rPr>
          <w:rFonts w:ascii="仿宋_GB2312" w:hAnsi="宋体" w:eastAsia="仿宋_GB2312" w:cs="宋体"/>
          <w:b/>
          <w:kern w:val="0"/>
          <w:sz w:val="32"/>
          <w:szCs w:val="32"/>
        </w:rPr>
        <w:t>4.1.3</w:t>
      </w:r>
      <w:r>
        <w:rPr>
          <w:rFonts w:hint="eastAsia" w:ascii="仿宋_GB2312" w:hAnsi="宋体" w:eastAsia="仿宋_GB2312" w:cs="宋体"/>
          <w:b/>
          <w:kern w:val="0"/>
          <w:sz w:val="32"/>
          <w:szCs w:val="32"/>
        </w:rPr>
        <w:t>监事会</w:t>
      </w:r>
    </w:p>
    <w:p>
      <w:pPr>
        <w:widowControl/>
        <w:shd w:val="clear" w:color="auto" w:fill="FFFFFF"/>
        <w:tabs>
          <w:tab w:val="left" w:pos="630"/>
        </w:tabs>
        <w:spacing w:line="52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本行监事会现由7名监事组成，其中职工监事3人，非职工监事4人。监事会设监事长1名，由本行职工监事担任。人员构成符合法律法规的要求。</w:t>
      </w:r>
    </w:p>
    <w:p>
      <w:pPr>
        <w:widowControl/>
        <w:shd w:val="clear" w:color="auto" w:fill="FFFFFF"/>
        <w:tabs>
          <w:tab w:val="left" w:pos="630"/>
        </w:tabs>
        <w:spacing w:line="52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报告期内，监事能够认真履行职责，维护本行和全体股东的利益。202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年，按照《江西高安农村商业银行股份有限公司章程》和《江西高安农村商业银行股份有限公司监事会议事规则》共召开监事会会议</w:t>
      </w:r>
      <w:r>
        <w:rPr>
          <w:rFonts w:hint="eastAsia" w:ascii="仿宋_GB2312" w:hAnsi="宋体" w:eastAsia="仿宋_GB2312" w:cs="宋体"/>
          <w:kern w:val="0"/>
          <w:sz w:val="32"/>
          <w:szCs w:val="32"/>
          <w:highlight w:val="none"/>
          <w:lang w:val="en-US" w:eastAsia="zh-CN"/>
        </w:rPr>
        <w:t>15</w:t>
      </w:r>
      <w:r>
        <w:rPr>
          <w:rFonts w:hint="eastAsia" w:ascii="仿宋_GB2312" w:hAnsi="宋体" w:eastAsia="仿宋_GB2312" w:cs="宋体"/>
          <w:kern w:val="0"/>
          <w:sz w:val="32"/>
          <w:szCs w:val="32"/>
          <w:highlight w:val="none"/>
        </w:rPr>
        <w:t>次。会议审议、通过了《高安农商银行202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年度利润分配方案》、《高安农商银行202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年股金分红实施方案》、《高安农商银行202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度财务决算报告及202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年度财务预算方案》等议案。</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4.1.4</w:t>
      </w:r>
      <w:r>
        <w:rPr>
          <w:rFonts w:hint="eastAsia" w:ascii="仿宋_GB2312" w:hAnsi="宋体" w:eastAsia="仿宋_GB2312" w:cs="宋体"/>
          <w:b/>
          <w:kern w:val="0"/>
          <w:sz w:val="32"/>
          <w:szCs w:val="32"/>
        </w:rPr>
        <w:t>高级管理层</w:t>
      </w:r>
    </w:p>
    <w:p>
      <w:pPr>
        <w:widowControl/>
        <w:shd w:val="clear" w:color="auto" w:fill="FFFFFF"/>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本行高级管理层由一名行长、两名副行长、一名董事会秘书以及财务管理部、审计部、风险合规部负责人组成。高级管理层严格执行股东大会、董事会决议，认真执行年度预算，较好地完成了年度经营目标。</w:t>
      </w:r>
    </w:p>
    <w:p>
      <w:pPr>
        <w:widowControl/>
        <w:shd w:val="clear" w:color="auto" w:fill="FFFFFF"/>
        <w:tabs>
          <w:tab w:val="left" w:pos="630"/>
        </w:tabs>
        <w:spacing w:line="520" w:lineRule="exact"/>
        <w:ind w:firstLine="643" w:firstLineChars="200"/>
        <w:jc w:val="left"/>
        <w:rPr>
          <w:rFonts w:ascii="宋体" w:cs="宋体"/>
          <w:kern w:val="0"/>
          <w:sz w:val="32"/>
          <w:szCs w:val="32"/>
          <w:highlight w:val="none"/>
        </w:rPr>
      </w:pPr>
      <w:r>
        <w:rPr>
          <w:rFonts w:ascii="仿宋_GB2312" w:hAnsi="宋体" w:eastAsia="仿宋_GB2312" w:cs="宋体"/>
          <w:b/>
          <w:kern w:val="0"/>
          <w:sz w:val="32"/>
          <w:szCs w:val="32"/>
          <w:highlight w:val="none"/>
        </w:rPr>
        <w:t>4.1.5</w:t>
      </w:r>
      <w:r>
        <w:rPr>
          <w:rFonts w:hint="eastAsia" w:ascii="仿宋_GB2312" w:hAnsi="宋体" w:eastAsia="仿宋_GB2312" w:cs="宋体"/>
          <w:b/>
          <w:kern w:val="0"/>
          <w:sz w:val="32"/>
          <w:szCs w:val="32"/>
          <w:highlight w:val="none"/>
        </w:rPr>
        <w:t>部门及分支机构情况</w:t>
      </w:r>
    </w:p>
    <w:p>
      <w:pPr>
        <w:widowControl/>
        <w:shd w:val="clear" w:color="auto" w:fill="FFFFFF"/>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本行设有13个职能部室，分别为办公室(含后勤服务中心）、人力资源部、风险合规部、审计部、财务管理部、运营管理部、信贷管理部、业务拓展部、安全保卫部、金融市场部、党风行风监督室、党群工作部、监控中心；下辖37个营业网点，其中1个总行营业部、26个支行和10个分理处。</w:t>
      </w:r>
    </w:p>
    <w:p>
      <w:pPr>
        <w:widowControl/>
        <w:shd w:val="clear" w:color="auto" w:fill="FFFFFF"/>
        <w:spacing w:line="520" w:lineRule="exact"/>
        <w:ind w:firstLine="643" w:firstLineChars="200"/>
        <w:jc w:val="left"/>
        <w:rPr>
          <w:rFonts w:ascii="宋体" w:cs="宋体"/>
          <w:kern w:val="0"/>
          <w:sz w:val="32"/>
          <w:szCs w:val="32"/>
          <w:highlight w:val="none"/>
        </w:rPr>
      </w:pPr>
      <w:r>
        <w:rPr>
          <w:rFonts w:ascii="仿宋_GB2312" w:hAnsi="宋体" w:eastAsia="仿宋_GB2312" w:cs="宋体"/>
          <w:b/>
          <w:kern w:val="0"/>
          <w:sz w:val="32"/>
          <w:szCs w:val="32"/>
          <w:highlight w:val="none"/>
        </w:rPr>
        <w:t>4.2</w:t>
      </w:r>
      <w:r>
        <w:rPr>
          <w:rFonts w:hint="eastAsia" w:ascii="仿宋_GB2312" w:hAnsi="宋体" w:eastAsia="仿宋_GB2312" w:cs="宋体"/>
          <w:b/>
          <w:kern w:val="0"/>
          <w:sz w:val="32"/>
          <w:szCs w:val="32"/>
          <w:highlight w:val="none"/>
        </w:rPr>
        <w:t>股东大会会议召开情况</w:t>
      </w:r>
    </w:p>
    <w:p>
      <w:pPr>
        <w:spacing w:line="520" w:lineRule="exact"/>
        <w:ind w:firstLine="640" w:firstLineChars="200"/>
        <w:rPr>
          <w:rFonts w:hint="eastAsia" w:ascii="仿宋_GB2312" w:hAnsi="仿宋" w:eastAsia="仿宋_GB2312" w:cs="仿宋"/>
          <w:sz w:val="32"/>
          <w:szCs w:val="32"/>
          <w:highlight w:val="none"/>
          <w:lang w:val="en-US" w:eastAsia="zh-CN"/>
        </w:rPr>
      </w:pP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日，召开了高安农商银行</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年度股东大会，会议实到股东</w:t>
      </w:r>
      <w:r>
        <w:rPr>
          <w:rFonts w:ascii="仿宋_GB2312" w:eastAsia="仿宋_GB2312"/>
          <w:sz w:val="32"/>
          <w:szCs w:val="32"/>
          <w:highlight w:val="none"/>
        </w:rPr>
        <w:t>7</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人，持有股权数351776636股，占股份总额的61.</w:t>
      </w:r>
      <w:r>
        <w:rPr>
          <w:rFonts w:hint="eastAsia" w:ascii="仿宋_GB2312" w:eastAsia="仿宋_GB2312"/>
          <w:sz w:val="32"/>
          <w:szCs w:val="32"/>
          <w:highlight w:val="none"/>
          <w:lang w:val="en-US" w:eastAsia="zh-CN"/>
        </w:rPr>
        <w:t>22</w:t>
      </w:r>
      <w:r>
        <w:rPr>
          <w:rFonts w:ascii="仿宋_GB2312" w:eastAsia="仿宋_GB2312"/>
          <w:sz w:val="32"/>
          <w:szCs w:val="32"/>
          <w:highlight w:val="none"/>
        </w:rPr>
        <w:t>%</w:t>
      </w:r>
      <w:r>
        <w:rPr>
          <w:rFonts w:hint="eastAsia" w:ascii="仿宋_GB2312" w:eastAsia="仿宋_GB2312"/>
          <w:sz w:val="32"/>
          <w:szCs w:val="32"/>
          <w:highlight w:val="none"/>
        </w:rPr>
        <w:t>（其中具有表决权的股东共72人，代表股权351776636 股，占全行有表决权股东股权总数的 70.35%）。符合《中国人民共和国公司法》的相关规定，会议审议通过了《</w:t>
      </w:r>
      <w:r>
        <w:rPr>
          <w:rFonts w:hint="eastAsia" w:ascii="仿宋_GB2312" w:eastAsia="仿宋_GB2312"/>
          <w:sz w:val="32"/>
          <w:szCs w:val="32"/>
          <w:highlight w:val="none"/>
          <w:lang w:eastAsia="zh-CN"/>
        </w:rPr>
        <w:t>高安农商银行第二届</w:t>
      </w:r>
      <w:r>
        <w:rPr>
          <w:rFonts w:hint="eastAsia" w:ascii="仿宋_GB2312" w:eastAsia="仿宋_GB2312"/>
          <w:sz w:val="32"/>
          <w:szCs w:val="32"/>
          <w:highlight w:val="none"/>
        </w:rPr>
        <w:t>董事会工作报告》、《</w:t>
      </w:r>
      <w:r>
        <w:rPr>
          <w:rFonts w:hint="eastAsia" w:ascii="仿宋_GB2312" w:eastAsia="仿宋_GB2312"/>
          <w:sz w:val="32"/>
          <w:szCs w:val="32"/>
          <w:highlight w:val="none"/>
          <w:lang w:eastAsia="zh-CN"/>
        </w:rPr>
        <w:t>高安农商银行第二届</w:t>
      </w:r>
      <w:r>
        <w:rPr>
          <w:rFonts w:hint="eastAsia" w:ascii="仿宋_GB2312" w:eastAsia="仿宋_GB2312"/>
          <w:sz w:val="32"/>
          <w:szCs w:val="32"/>
          <w:highlight w:val="none"/>
        </w:rPr>
        <w:t>监事会工作报告》</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年经营指标执行情况及</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年度业务经营指导性计划》</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年度财务决算报告及</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年度财务预算方案》</w:t>
      </w: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年度利润分配方案》、</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年度股金分红方案》</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年信息披露报告》《关于注册资本变更的议案》、《关于修订公司章程的议案》</w:t>
      </w:r>
      <w:r>
        <w:rPr>
          <w:rFonts w:hint="eastAsia" w:ascii="仿宋_GB2312" w:hAnsi="仿宋" w:eastAsia="仿宋_GB2312" w:cs="仿宋"/>
          <w:sz w:val="32"/>
          <w:szCs w:val="32"/>
          <w:highlight w:val="none"/>
        </w:rPr>
        <w:t>等议案。整个会议由筠泉律师事务所律师见证，并出具了法律意见书。</w:t>
      </w:r>
      <w:r>
        <w:rPr>
          <w:rFonts w:hint="eastAsia" w:ascii="仿宋_GB2312" w:hAnsi="仿宋" w:eastAsia="仿宋_GB2312" w:cs="仿宋"/>
          <w:sz w:val="32"/>
          <w:szCs w:val="32"/>
          <w:highlight w:val="none"/>
          <w:lang w:val="en-US" w:eastAsia="zh-CN"/>
        </w:rPr>
        <w:t>2022年12月15日，召开了高安农商银行2022年第一次临时股东大会，</w:t>
      </w:r>
      <w:r>
        <w:rPr>
          <w:rFonts w:hint="eastAsia" w:ascii="仿宋_GB2312" w:eastAsia="仿宋_GB2312"/>
          <w:sz w:val="32"/>
          <w:szCs w:val="32"/>
          <w:highlight w:val="none"/>
        </w:rPr>
        <w:t>会议实到股东</w:t>
      </w:r>
      <w:r>
        <w:rPr>
          <w:rFonts w:ascii="仿宋_GB2312" w:eastAsia="仿宋_GB2312"/>
          <w:sz w:val="32"/>
          <w:szCs w:val="32"/>
          <w:highlight w:val="none"/>
        </w:rPr>
        <w:t>7</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人，持有股权数</w:t>
      </w:r>
      <w:r>
        <w:rPr>
          <w:rFonts w:hint="eastAsia" w:ascii="仿宋_GB2312" w:eastAsia="仿宋_GB2312"/>
          <w:sz w:val="32"/>
          <w:szCs w:val="32"/>
          <w:highlight w:val="none"/>
          <w:lang w:val="en-US" w:eastAsia="zh-CN"/>
        </w:rPr>
        <w:t>367299895</w:t>
      </w:r>
      <w:r>
        <w:rPr>
          <w:rFonts w:hint="eastAsia" w:ascii="仿宋_GB2312" w:eastAsia="仿宋_GB2312"/>
          <w:sz w:val="32"/>
          <w:szCs w:val="32"/>
          <w:highlight w:val="none"/>
        </w:rPr>
        <w:t>股，占股份总额的</w:t>
      </w:r>
      <w:r>
        <w:rPr>
          <w:rFonts w:hint="eastAsia" w:ascii="仿宋_GB2312" w:eastAsia="仿宋_GB2312"/>
          <w:sz w:val="32"/>
          <w:szCs w:val="32"/>
          <w:highlight w:val="none"/>
          <w:lang w:val="en-US" w:eastAsia="zh-CN"/>
        </w:rPr>
        <w:t>62.67</w:t>
      </w:r>
      <w:r>
        <w:rPr>
          <w:rFonts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符合《中国人民共和国公司法》的相关规定，会议审议通过了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关于选举江西高安农村商业银行股份有限公司第三届董事会独立董事的议案</w:t>
      </w:r>
      <w:r>
        <w:rPr>
          <w:rFonts w:hint="eastAsia" w:ascii="仿宋_GB2312" w:eastAsia="仿宋_GB2312"/>
          <w:sz w:val="32"/>
          <w:szCs w:val="32"/>
          <w:highlight w:val="none"/>
          <w:lang w:eastAsia="zh-CN"/>
        </w:rPr>
        <w:t>》等，</w:t>
      </w:r>
      <w:r>
        <w:rPr>
          <w:rFonts w:hint="eastAsia" w:ascii="仿宋_GB2312" w:hAnsi="仿宋" w:eastAsia="仿宋_GB2312" w:cs="仿宋"/>
          <w:sz w:val="32"/>
          <w:szCs w:val="32"/>
          <w:highlight w:val="none"/>
        </w:rPr>
        <w:t>整个会议由筠泉律师事务所律师见证，并出具了法律意见书。</w:t>
      </w:r>
    </w:p>
    <w:p>
      <w:pPr>
        <w:widowControl/>
        <w:shd w:val="clear" w:color="auto" w:fill="FFFFFF"/>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五、股本变动及股东情况</w:t>
      </w:r>
    </w:p>
    <w:p>
      <w:pPr>
        <w:widowControl/>
        <w:shd w:val="clear" w:color="auto" w:fill="FFFFFF"/>
        <w:tabs>
          <w:tab w:val="left" w:pos="630"/>
        </w:tabs>
        <w:spacing w:line="56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5.1</w:t>
      </w:r>
      <w:r>
        <w:rPr>
          <w:rFonts w:hint="eastAsia" w:ascii="仿宋_GB2312" w:hAnsi="宋体" w:eastAsia="仿宋_GB2312" w:cs="宋体"/>
          <w:b/>
          <w:color w:val="auto"/>
          <w:kern w:val="0"/>
          <w:sz w:val="32"/>
          <w:szCs w:val="32"/>
          <w:highlight w:val="none"/>
        </w:rPr>
        <w:t>股东权益变动表</w:t>
      </w:r>
    </w:p>
    <w:p>
      <w:pPr>
        <w:widowControl/>
        <w:shd w:val="clear" w:color="auto" w:fill="FFFFFF"/>
        <w:spacing w:line="560" w:lineRule="exact"/>
        <w:ind w:firstLine="640" w:firstLineChars="200"/>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22"/>
        <w:gridCol w:w="1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49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022" w:type="dxa"/>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2021</w:t>
            </w:r>
            <w:r>
              <w:rPr>
                <w:rFonts w:hint="eastAsia" w:ascii="黑体" w:hAnsi="黑体" w:eastAsia="黑体" w:cs="黑体"/>
                <w:b/>
                <w:color w:val="auto"/>
                <w:kern w:val="0"/>
                <w:sz w:val="28"/>
                <w:szCs w:val="28"/>
                <w:highlight w:val="none"/>
              </w:rPr>
              <w:t>年末</w:t>
            </w:r>
          </w:p>
        </w:tc>
        <w:tc>
          <w:tcPr>
            <w:tcW w:w="1835" w:type="dxa"/>
            <w:vAlign w:val="center"/>
          </w:tcPr>
          <w:p>
            <w:pPr>
              <w:widowControl/>
              <w:spacing w:line="560" w:lineRule="exact"/>
              <w:jc w:val="center"/>
              <w:rPr>
                <w:rFonts w:ascii="仿宋" w:hAnsi="仿宋" w:eastAsia="仿宋" w:cs="黑体"/>
                <w:b/>
                <w:color w:val="auto"/>
                <w:kern w:val="0"/>
                <w:sz w:val="28"/>
                <w:szCs w:val="28"/>
                <w:highlight w:val="none"/>
              </w:rPr>
            </w:pPr>
            <w:r>
              <w:rPr>
                <w:rFonts w:hint="eastAsia" w:ascii="仿宋" w:hAnsi="仿宋" w:eastAsia="仿宋" w:cs="黑体"/>
                <w:b/>
                <w:color w:val="auto"/>
                <w:kern w:val="0"/>
                <w:sz w:val="28"/>
                <w:szCs w:val="28"/>
                <w:highlight w:val="none"/>
              </w:rPr>
              <w:t>本</w:t>
            </w:r>
            <w:r>
              <w:rPr>
                <w:rFonts w:ascii="仿宋" w:hAnsi="仿宋" w:eastAsia="仿宋" w:cs="黑体"/>
                <w:b/>
                <w:color w:val="auto"/>
                <w:kern w:val="0"/>
                <w:sz w:val="28"/>
                <w:szCs w:val="28"/>
                <w:highlight w:val="none"/>
              </w:rPr>
              <w:t>期增加</w:t>
            </w:r>
          </w:p>
        </w:tc>
        <w:tc>
          <w:tcPr>
            <w:tcW w:w="1985"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2022年</w:t>
            </w:r>
            <w:r>
              <w:rPr>
                <w:rFonts w:ascii="黑体" w:hAnsi="黑体" w:eastAsia="黑体" w:cs="黑体"/>
                <w:b/>
                <w:color w:val="auto"/>
                <w:kern w:val="0"/>
                <w:sz w:val="28"/>
                <w:szCs w:val="28"/>
                <w:highlight w:val="none"/>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股本</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57460.46</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1149.21</w:t>
            </w:r>
          </w:p>
        </w:tc>
        <w:tc>
          <w:tcPr>
            <w:tcW w:w="1985"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58609.67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资本公积</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9315.82</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0</w:t>
            </w:r>
          </w:p>
        </w:tc>
        <w:tc>
          <w:tcPr>
            <w:tcW w:w="1985"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9315.82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其他</w:t>
            </w:r>
            <w:r>
              <w:rPr>
                <w:rFonts w:ascii="仿宋_GB2312" w:hAnsi="宋体-PUA" w:eastAsia="仿宋_GB2312" w:cs="宋体-PUA"/>
                <w:color w:val="auto"/>
                <w:kern w:val="0"/>
                <w:sz w:val="28"/>
                <w:szCs w:val="28"/>
                <w:highlight w:val="none"/>
              </w:rPr>
              <w:t>综合收益</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3419.67</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-1938.22</w:t>
            </w:r>
          </w:p>
        </w:tc>
        <w:tc>
          <w:tcPr>
            <w:tcW w:w="1985"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1481.45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盈余公积</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15247.01</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1663.69</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6910.7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一般风险准备</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60872.52</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4576.56</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65449.08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未分配利润</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24252.95</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212.60</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24</w:t>
            </w:r>
            <w:r>
              <w:rPr>
                <w:rFonts w:ascii="仿宋_GB2312" w:eastAsia="仿宋_GB2312"/>
                <w:color w:val="auto"/>
                <w:sz w:val="28"/>
                <w:szCs w:val="28"/>
                <w:highlight w:val="none"/>
              </w:rPr>
              <w:t>465.55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股东权益合计</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170568.43</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5663.84</w:t>
            </w:r>
          </w:p>
        </w:tc>
        <w:tc>
          <w:tcPr>
            <w:tcW w:w="1985"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176232.27</w:t>
            </w:r>
          </w:p>
        </w:tc>
      </w:tr>
    </w:tbl>
    <w:p>
      <w:pPr>
        <w:widowControl/>
        <w:shd w:val="clear" w:color="auto" w:fill="FFFFFF"/>
        <w:tabs>
          <w:tab w:val="left" w:pos="630"/>
        </w:tabs>
        <w:spacing w:line="56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5.2</w:t>
      </w:r>
      <w:r>
        <w:rPr>
          <w:rFonts w:hint="eastAsia" w:ascii="仿宋_GB2312" w:hAnsi="宋体" w:eastAsia="仿宋_GB2312" w:cs="宋体"/>
          <w:b/>
          <w:color w:val="auto"/>
          <w:kern w:val="0"/>
          <w:sz w:val="32"/>
          <w:szCs w:val="32"/>
          <w:highlight w:val="none"/>
        </w:rPr>
        <w:t>股本结构情况表</w:t>
      </w:r>
    </w:p>
    <w:p>
      <w:pPr>
        <w:widowControl/>
        <w:shd w:val="clear" w:color="auto" w:fill="FFFFFF"/>
        <w:spacing w:line="560" w:lineRule="exact"/>
        <w:ind w:firstLine="640" w:firstLineChars="200"/>
        <w:rPr>
          <w:rFonts w:ascii="宋体" w:cs="宋体"/>
          <w:color w:val="auto"/>
          <w:kern w:val="0"/>
          <w:sz w:val="28"/>
          <w:szCs w:val="28"/>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6"/>
        <w:tblW w:w="8324" w:type="dxa"/>
        <w:jc w:val="center"/>
        <w:tblInd w:w="0" w:type="dxa"/>
        <w:tblLayout w:type="fixed"/>
        <w:tblCellMar>
          <w:top w:w="0" w:type="dxa"/>
          <w:left w:w="108" w:type="dxa"/>
          <w:bottom w:w="0" w:type="dxa"/>
          <w:right w:w="108" w:type="dxa"/>
        </w:tblCellMar>
      </w:tblPr>
      <w:tblGrid>
        <w:gridCol w:w="2198"/>
        <w:gridCol w:w="1635"/>
        <w:gridCol w:w="1939"/>
        <w:gridCol w:w="2552"/>
      </w:tblGrid>
      <w:tr>
        <w:tblPrEx>
          <w:tblLayout w:type="fixed"/>
          <w:tblCellMar>
            <w:top w:w="0" w:type="dxa"/>
            <w:left w:w="108" w:type="dxa"/>
            <w:bottom w:w="0" w:type="dxa"/>
            <w:right w:w="108" w:type="dxa"/>
          </w:tblCellMar>
        </w:tblPrEx>
        <w:trPr>
          <w:trHeight w:val="495"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股东类型</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股东数量（户）</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2022</w:t>
            </w:r>
            <w:r>
              <w:rPr>
                <w:rFonts w:hint="eastAsia" w:ascii="黑体" w:hAnsi="黑体" w:eastAsia="黑体" w:cs="黑体"/>
                <w:b/>
                <w:color w:val="auto"/>
                <w:kern w:val="0"/>
                <w:sz w:val="28"/>
                <w:szCs w:val="28"/>
                <w:highlight w:val="none"/>
              </w:rPr>
              <w:t>年末股本数</w:t>
            </w:r>
          </w:p>
        </w:tc>
        <w:tc>
          <w:tcPr>
            <w:tcW w:w="255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占总股本比例（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458"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法人股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16</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28978.29</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49.44%</w:t>
            </w:r>
          </w:p>
        </w:tc>
      </w:tr>
      <w:tr>
        <w:tblPrEx>
          <w:tblLayout w:type="fixed"/>
          <w:tblCellMar>
            <w:top w:w="0" w:type="dxa"/>
            <w:left w:w="108" w:type="dxa"/>
            <w:bottom w:w="0" w:type="dxa"/>
            <w:right w:w="108" w:type="dxa"/>
          </w:tblCellMar>
        </w:tblPrEx>
        <w:trPr>
          <w:trHeight w:val="436"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非职工自然人股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301</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23872.82</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40.73%</w:t>
            </w:r>
          </w:p>
        </w:tc>
      </w:tr>
      <w:tr>
        <w:tblPrEx>
          <w:tblLayout w:type="fixed"/>
          <w:tblCellMar>
            <w:top w:w="0" w:type="dxa"/>
            <w:left w:w="108" w:type="dxa"/>
            <w:bottom w:w="0" w:type="dxa"/>
            <w:right w:w="108" w:type="dxa"/>
          </w:tblCellMar>
        </w:tblPrEx>
        <w:trPr>
          <w:trHeight w:val="400"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职工自然人股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ascii="仿宋_GB2312" w:hAnsi="宋体" w:eastAsia="仿宋_GB2312" w:cs="宋体"/>
                <w:color w:val="auto"/>
                <w:kern w:val="0"/>
                <w:sz w:val="28"/>
                <w:szCs w:val="28"/>
                <w:highlight w:val="none"/>
              </w:rPr>
              <w:t>195</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5758.56</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9.83%</w:t>
            </w:r>
          </w:p>
        </w:tc>
      </w:tr>
    </w:tbl>
    <w:p>
      <w:pPr>
        <w:widowControl/>
        <w:shd w:val="clear" w:color="auto" w:fill="FFFFFF"/>
        <w:tabs>
          <w:tab w:val="left" w:pos="630"/>
        </w:tabs>
        <w:spacing w:line="560" w:lineRule="exact"/>
        <w:ind w:firstLine="630" w:firstLineChars="196"/>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5.3</w:t>
      </w:r>
      <w:r>
        <w:rPr>
          <w:rFonts w:hint="eastAsia" w:ascii="仿宋_GB2312" w:hAnsi="宋体" w:eastAsia="仿宋_GB2312" w:cs="宋体"/>
          <w:b/>
          <w:color w:val="auto"/>
          <w:kern w:val="0"/>
          <w:sz w:val="32"/>
          <w:szCs w:val="32"/>
          <w:highlight w:val="none"/>
        </w:rPr>
        <w:t>最大十户股东及持股情况</w:t>
      </w:r>
    </w:p>
    <w:p>
      <w:pPr>
        <w:widowControl/>
        <w:shd w:val="clear" w:color="auto" w:fill="FFFFFF"/>
        <w:spacing w:line="560" w:lineRule="exact"/>
        <w:ind w:firstLine="640" w:firstLineChars="200"/>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6"/>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604"/>
        <w:gridCol w:w="12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60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股东名称</w:t>
            </w:r>
          </w:p>
        </w:tc>
        <w:tc>
          <w:tcPr>
            <w:tcW w:w="1604" w:type="dxa"/>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2022</w:t>
            </w:r>
            <w:r>
              <w:rPr>
                <w:rFonts w:hint="eastAsia" w:ascii="黑体" w:hAnsi="黑体" w:eastAsia="黑体" w:cs="黑体"/>
                <w:b/>
                <w:color w:val="auto"/>
                <w:kern w:val="0"/>
                <w:sz w:val="28"/>
                <w:szCs w:val="28"/>
                <w:highlight w:val="none"/>
              </w:rPr>
              <w:t>年末</w:t>
            </w:r>
          </w:p>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持股数额</w:t>
            </w:r>
          </w:p>
        </w:tc>
        <w:tc>
          <w:tcPr>
            <w:tcW w:w="1275"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持股比例（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c>
          <w:tcPr>
            <w:tcW w:w="189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较</w:t>
            </w:r>
            <w:r>
              <w:rPr>
                <w:rFonts w:ascii="黑体" w:hAnsi="黑体" w:eastAsia="黑体" w:cs="黑体"/>
                <w:b/>
                <w:color w:val="auto"/>
                <w:kern w:val="0"/>
                <w:sz w:val="28"/>
                <w:szCs w:val="28"/>
                <w:highlight w:val="none"/>
              </w:rPr>
              <w:t>2021</w:t>
            </w:r>
            <w:r>
              <w:rPr>
                <w:rFonts w:hint="eastAsia" w:ascii="黑体" w:hAnsi="黑体" w:eastAsia="黑体" w:cs="黑体"/>
                <w:b/>
                <w:color w:val="auto"/>
                <w:kern w:val="0"/>
                <w:sz w:val="28"/>
                <w:szCs w:val="28"/>
                <w:highlight w:val="none"/>
              </w:rPr>
              <w:t>年末</w:t>
            </w:r>
          </w:p>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股权变动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江西省喜洋洋苗木有限公司</w:t>
            </w:r>
          </w:p>
        </w:tc>
        <w:tc>
          <w:tcPr>
            <w:tcW w:w="1604" w:type="dxa"/>
            <w:vAlign w:val="center"/>
          </w:tcPr>
          <w:p>
            <w:pPr>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3713</w:t>
            </w:r>
          </w:p>
        </w:tc>
        <w:tc>
          <w:tcPr>
            <w:tcW w:w="1275" w:type="dxa"/>
            <w:vAlign w:val="center"/>
          </w:tcPr>
          <w:p>
            <w:pPr>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6.34</w:t>
            </w:r>
          </w:p>
        </w:tc>
        <w:tc>
          <w:tcPr>
            <w:tcW w:w="1892" w:type="dxa"/>
            <w:vAlign w:val="center"/>
          </w:tcPr>
          <w:p>
            <w:pPr>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江西瑞鼎精密传动有限公司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3304</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5.64</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江西华硕控股集团有限公司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3235</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5.52</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江西瑞阳陶瓷有限责任公司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2980</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5.08</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江西佳宇陶瓷有限公司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2799</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4.77</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高安市鸿伟物流市场实业有限公司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2379</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4.06</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江西罗纳尔陶瓷集团有限公司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2371</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4.05</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江西汇通实业有限公司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2188</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3.73</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江西双林彩印包装有限公司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1536</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2.62</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高安市畜产品有限公司</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1532</w:t>
            </w:r>
          </w:p>
        </w:tc>
        <w:tc>
          <w:tcPr>
            <w:tcW w:w="127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2.61</w:t>
            </w:r>
          </w:p>
        </w:tc>
        <w:tc>
          <w:tcPr>
            <w:tcW w:w="18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合计</w:t>
            </w:r>
          </w:p>
        </w:tc>
        <w:tc>
          <w:tcPr>
            <w:tcW w:w="160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26037</w:t>
            </w:r>
          </w:p>
        </w:tc>
        <w:tc>
          <w:tcPr>
            <w:tcW w:w="1275" w:type="dxa"/>
            <w:vAlign w:val="center"/>
          </w:tcPr>
          <w:p>
            <w:pPr>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44.42</w:t>
            </w:r>
          </w:p>
        </w:tc>
        <w:tc>
          <w:tcPr>
            <w:tcW w:w="1892" w:type="dxa"/>
            <w:vAlign w:val="center"/>
          </w:tcPr>
          <w:p>
            <w:pPr>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509</w:t>
            </w:r>
          </w:p>
        </w:tc>
      </w:tr>
    </w:tbl>
    <w:p>
      <w:pPr>
        <w:widowControl/>
        <w:shd w:val="clear" w:color="auto" w:fill="FFFFFF"/>
        <w:tabs>
          <w:tab w:val="left" w:pos="630"/>
        </w:tabs>
        <w:spacing w:line="48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5.4</w:t>
      </w:r>
      <w:r>
        <w:rPr>
          <w:rFonts w:hint="eastAsia" w:ascii="仿宋_GB2312" w:hAnsi="宋体" w:eastAsia="仿宋_GB2312" w:cs="宋体"/>
          <w:b/>
          <w:color w:val="auto"/>
          <w:kern w:val="0"/>
          <w:sz w:val="32"/>
          <w:szCs w:val="32"/>
          <w:highlight w:val="none"/>
        </w:rPr>
        <w:t>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本行在处理关联交易业务时，严格按照有关法律、法规以及本行的贷款程序和规定操作，定价按照不优于对非关联方同类交易的条件办理，符合诚信、公允原则。</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（1）重大关联交易情况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①本年度发生重大非自然人关联交易</w:t>
      </w:r>
      <w:r>
        <w:rPr>
          <w:rFonts w:ascii="仿宋_GB2312" w:hAnsi="宋体" w:eastAsia="仿宋_GB2312" w:cs="宋体"/>
          <w:color w:val="auto"/>
          <w:kern w:val="0"/>
          <w:sz w:val="32"/>
          <w:szCs w:val="32"/>
          <w:highlight w:val="none"/>
        </w:rPr>
        <w:t>12</w:t>
      </w:r>
      <w:r>
        <w:rPr>
          <w:rFonts w:hint="eastAsia" w:ascii="仿宋_GB2312" w:hAnsi="宋体" w:eastAsia="仿宋_GB2312" w:cs="宋体"/>
          <w:color w:val="auto"/>
          <w:kern w:val="0"/>
          <w:sz w:val="32"/>
          <w:szCs w:val="32"/>
          <w:highlight w:val="none"/>
        </w:rPr>
        <w:t>户，授信金额89,990.00万元，承兑汇票金额7,483.36万元，交易履行了相关程序。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重大非自然人关联交易情况如下表：</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992"/>
        <w:gridCol w:w="170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686"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1701"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c>
          <w:tcPr>
            <w:tcW w:w="1524"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承兑汇票金额（万元）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江西瑞源陶瓷有限公司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9</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13,800.00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2,107.46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高安罗斯福陶瓷有限公司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10</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13,200.00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江西沁园春陶瓷有限公司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6,300.00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5,372.90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江西省喜洋洋苗木有限公司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11,500.00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高安市瑞雪宾馆</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10,500.00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高安市畜产品有限公司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8,000.00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7</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高安市风云实业有限公司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7,720.00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8</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江西恒乐高实业有限公司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7,470.00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9</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江西新景象陶瓷有限公司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5,000.00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10</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江西瑞鼎精密传动有限公司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4,000.00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11</w:t>
            </w:r>
          </w:p>
        </w:tc>
        <w:tc>
          <w:tcPr>
            <w:tcW w:w="3686"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江西佳宇陶瓷有限公司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1701" w:type="dxa"/>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2,500.00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12</w:t>
            </w:r>
          </w:p>
        </w:tc>
        <w:tc>
          <w:tcPr>
            <w:tcW w:w="368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江西瑞阳陶瓷有限责任公司</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1701"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p>
        </w:tc>
        <w:tc>
          <w:tcPr>
            <w:tcW w:w="3686"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合计</w:t>
            </w:r>
          </w:p>
        </w:tc>
        <w:tc>
          <w:tcPr>
            <w:tcW w:w="992" w:type="dxa"/>
            <w:vAlign w:val="center"/>
          </w:tcPr>
          <w:p>
            <w:pPr>
              <w:widowControl/>
              <w:spacing w:line="560" w:lineRule="exact"/>
              <w:jc w:val="center"/>
              <w:rPr>
                <w:rFonts w:ascii="仿宋_GB2312" w:hAnsi="宋体-PUA" w:eastAsia="仿宋_GB2312" w:cs="宋体-PUA"/>
                <w:color w:val="auto"/>
                <w:kern w:val="0"/>
                <w:sz w:val="28"/>
                <w:szCs w:val="28"/>
                <w:highlight w:val="none"/>
              </w:rPr>
            </w:pPr>
          </w:p>
        </w:tc>
        <w:tc>
          <w:tcPr>
            <w:tcW w:w="1701"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89,990.00 </w:t>
            </w:r>
          </w:p>
        </w:tc>
        <w:tc>
          <w:tcPr>
            <w:tcW w:w="1524" w:type="dxa"/>
            <w:vAlign w:val="center"/>
          </w:tcPr>
          <w:p>
            <w:pPr>
              <w:widowControl/>
              <w:spacing w:line="560" w:lineRule="exact"/>
              <w:jc w:val="right"/>
              <w:textAlignment w:val="bottom"/>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 xml:space="preserve">7,483.36 </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②本年度发生重大自然人关联交易1户，贷款余额1,800.00万元，系贾巨林1笔，金额1,800.00万元。交易履行了相关程序。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以上重大关联交易操作规范，没有发现违规交易，没有造成资金损失和流失。</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（2）一般关联交易情况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①本年度发生一般非自然人关联交易2户，贷款余额2,300.00万元。交易履行了相关程序。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一般非自然人关联交易情况如下表：</w:t>
      </w:r>
    </w:p>
    <w:tbl>
      <w:tblPr>
        <w:tblStyle w:val="7"/>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10"/>
        <w:gridCol w:w="141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7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91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4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294"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91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高安鸿鹏混凝土建材有限公司</w:t>
            </w:r>
          </w:p>
        </w:tc>
        <w:tc>
          <w:tcPr>
            <w:tcW w:w="14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2294" w:type="dxa"/>
          </w:tcPr>
          <w:p>
            <w:pPr>
              <w:widowControl/>
              <w:spacing w:line="560" w:lineRule="exact"/>
              <w:jc w:val="left"/>
              <w:textAlignment w:val="center"/>
              <w:rPr>
                <w:rFonts w:ascii="仿宋_GB2312" w:hAnsi="宋体-PUA" w:eastAsia="仿宋_GB2312" w:cs="宋体-PUA"/>
                <w:color w:val="auto"/>
                <w:kern w:val="0"/>
                <w:sz w:val="28"/>
                <w:szCs w:val="28"/>
                <w:highlight w:val="none"/>
              </w:rPr>
            </w:pPr>
            <w:bookmarkStart w:id="0" w:name="_GoBack"/>
            <w:bookmarkEnd w:id="0"/>
            <w:r>
              <w:rPr>
                <w:rFonts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w:t>
            </w:r>
            <w:r>
              <w:rPr>
                <w:rFonts w:ascii="仿宋_GB2312" w:hAnsi="宋体-PUA" w:eastAsia="仿宋_GB2312" w:cs="宋体-PUA"/>
                <w:color w:val="auto"/>
                <w:kern w:val="0"/>
                <w:sz w:val="28"/>
                <w:szCs w:val="28"/>
                <w:highlight w:val="none"/>
              </w:rPr>
              <w:t>400</w:t>
            </w:r>
            <w:r>
              <w:rPr>
                <w:rFonts w:hint="eastAsia" w:ascii="仿宋_GB2312" w:hAnsi="宋体-PUA" w:eastAsia="仿宋_GB2312" w:cs="宋体-PUA"/>
                <w:color w:val="auto"/>
                <w:kern w:val="0"/>
                <w:sz w:val="28"/>
                <w:szCs w:val="2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w:t>
            </w:r>
          </w:p>
        </w:tc>
        <w:tc>
          <w:tcPr>
            <w:tcW w:w="391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高安市辉阳建材有限公司</w:t>
            </w:r>
          </w:p>
        </w:tc>
        <w:tc>
          <w:tcPr>
            <w:tcW w:w="14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2294"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900</w:t>
            </w:r>
            <w:r>
              <w:rPr>
                <w:rFonts w:hint="eastAsia" w:ascii="仿宋_GB2312" w:hAnsi="宋体-PUA" w:eastAsia="仿宋_GB2312" w:cs="宋体-PUA"/>
                <w:color w:val="auto"/>
                <w:kern w:val="0"/>
                <w:sz w:val="28"/>
                <w:szCs w:val="2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p>
        </w:tc>
        <w:tc>
          <w:tcPr>
            <w:tcW w:w="391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合计</w:t>
            </w:r>
          </w:p>
        </w:tc>
        <w:tc>
          <w:tcPr>
            <w:tcW w:w="14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p>
        </w:tc>
        <w:tc>
          <w:tcPr>
            <w:tcW w:w="2294"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2,300.00</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②本年度发生一般自然人关联交易14户，贷款金额1,565.89万元。交易履行了相关程序。</w:t>
      </w:r>
    </w:p>
    <w:tbl>
      <w:tblPr>
        <w:tblStyle w:val="7"/>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53"/>
        <w:gridCol w:w="177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2353"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303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梁细梅</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12</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曹桂花</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7</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徐娟</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徐欢</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江伟</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邓柑子</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7</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89.90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7</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葛贵武</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8</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胡煜</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4</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9</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熊晋</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10</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周江兰</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11</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罗金秀</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12</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邓琴</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13</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熊胜辉</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14</w:t>
            </w:r>
          </w:p>
        </w:tc>
        <w:tc>
          <w:tcPr>
            <w:tcW w:w="2353"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熊香莲</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w:t>
            </w:r>
          </w:p>
        </w:tc>
        <w:tc>
          <w:tcPr>
            <w:tcW w:w="3030" w:type="dxa"/>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34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p>
        </w:tc>
        <w:tc>
          <w:tcPr>
            <w:tcW w:w="2353"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合计</w:t>
            </w:r>
          </w:p>
        </w:tc>
        <w:tc>
          <w:tcPr>
            <w:tcW w:w="177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p>
        </w:tc>
        <w:tc>
          <w:tcPr>
            <w:tcW w:w="3030"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w:t>
            </w:r>
            <w:r>
              <w:rPr>
                <w:rFonts w:ascii="仿宋_GB2312" w:hAnsi="宋体-PUA" w:eastAsia="仿宋_GB2312" w:cs="宋体-PUA"/>
                <w:color w:val="auto"/>
                <w:kern w:val="0"/>
                <w:sz w:val="28"/>
                <w:szCs w:val="28"/>
                <w:highlight w:val="none"/>
              </w:rPr>
              <w:t>565.89</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以上一般关联交易操作规范，没有发现违规交易，没有造成资金损失和流失。</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5.5</w:t>
      </w:r>
      <w:r>
        <w:rPr>
          <w:rFonts w:hint="eastAsia" w:ascii="仿宋_GB2312" w:hAnsi="宋体" w:eastAsia="仿宋_GB2312" w:cs="宋体"/>
          <w:b/>
          <w:color w:val="auto"/>
          <w:kern w:val="0"/>
          <w:sz w:val="32"/>
          <w:szCs w:val="32"/>
          <w:highlight w:val="none"/>
        </w:rPr>
        <w:t>被质押股权情况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2022</w:t>
      </w:r>
      <w:r>
        <w:rPr>
          <w:rFonts w:hint="eastAsia" w:ascii="仿宋_GB2312" w:hAnsi="宋体" w:eastAsia="仿宋_GB2312" w:cs="宋体"/>
          <w:color w:val="auto"/>
          <w:kern w:val="0"/>
          <w:sz w:val="32"/>
          <w:szCs w:val="32"/>
          <w:highlight w:val="none"/>
        </w:rPr>
        <w:t>年末，本行股本金总额为</w:t>
      </w:r>
      <w:r>
        <w:rPr>
          <w:rFonts w:ascii="仿宋_GB2312" w:hAnsi="宋体" w:eastAsia="仿宋_GB2312" w:cs="宋体"/>
          <w:color w:val="auto"/>
          <w:kern w:val="0"/>
          <w:sz w:val="32"/>
          <w:szCs w:val="32"/>
          <w:highlight w:val="none"/>
        </w:rPr>
        <w:t>58609.67</w:t>
      </w:r>
      <w:r>
        <w:rPr>
          <w:rFonts w:hint="eastAsia" w:ascii="仿宋_GB2312" w:hAnsi="宋体" w:eastAsia="仿宋_GB2312" w:cs="宋体"/>
          <w:color w:val="auto"/>
          <w:kern w:val="0"/>
          <w:sz w:val="32"/>
          <w:szCs w:val="32"/>
          <w:highlight w:val="none"/>
        </w:rPr>
        <w:t>万股，出质股权总额为</w:t>
      </w:r>
      <w:r>
        <w:rPr>
          <w:rFonts w:ascii="仿宋_GB2312" w:hAnsi="宋体" w:eastAsia="仿宋_GB2312" w:cs="宋体"/>
          <w:color w:val="auto"/>
          <w:kern w:val="0"/>
          <w:sz w:val="32"/>
          <w:szCs w:val="32"/>
          <w:highlight w:val="none"/>
        </w:rPr>
        <w:t>6535.6</w:t>
      </w:r>
      <w:r>
        <w:rPr>
          <w:rFonts w:hint="eastAsia" w:ascii="仿宋_GB2312" w:hAnsi="宋体" w:eastAsia="仿宋_GB2312" w:cs="宋体"/>
          <w:color w:val="auto"/>
          <w:kern w:val="0"/>
          <w:sz w:val="32"/>
          <w:szCs w:val="32"/>
          <w:highlight w:val="none"/>
        </w:rPr>
        <w:t>万股，出质股权占股本金总额的</w:t>
      </w:r>
      <w:r>
        <w:rPr>
          <w:rFonts w:ascii="仿宋_GB2312" w:hAnsi="宋体" w:eastAsia="仿宋_GB2312" w:cs="宋体"/>
          <w:color w:val="auto"/>
          <w:kern w:val="0"/>
          <w:sz w:val="32"/>
          <w:szCs w:val="32"/>
          <w:highlight w:val="none"/>
        </w:rPr>
        <w:t>11.15%</w:t>
      </w:r>
      <w:r>
        <w:rPr>
          <w:rFonts w:hint="eastAsia" w:ascii="仿宋_GB2312" w:hAnsi="宋体" w:eastAsia="仿宋_GB2312" w:cs="宋体"/>
          <w:color w:val="auto"/>
          <w:kern w:val="0"/>
          <w:sz w:val="32"/>
          <w:szCs w:val="32"/>
          <w:highlight w:val="none"/>
        </w:rPr>
        <w:t>。</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5.6</w:t>
      </w:r>
      <w:r>
        <w:rPr>
          <w:rFonts w:hint="eastAsia" w:ascii="仿宋_GB2312" w:hAnsi="宋体" w:eastAsia="仿宋_GB2312" w:cs="宋体"/>
          <w:b/>
          <w:color w:val="auto"/>
          <w:kern w:val="0"/>
          <w:sz w:val="32"/>
          <w:szCs w:val="32"/>
          <w:highlight w:val="none"/>
        </w:rPr>
        <w:t>被质押股权涉及司法冻结情况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w:t>
      </w:r>
      <w:r>
        <w:rPr>
          <w:rFonts w:ascii="仿宋_GB2312" w:hAnsi="宋体" w:eastAsia="仿宋_GB2312" w:cs="宋体"/>
          <w:color w:val="auto"/>
          <w:kern w:val="0"/>
          <w:sz w:val="32"/>
          <w:szCs w:val="32"/>
          <w:highlight w:val="none"/>
        </w:rPr>
        <w:t>2022</w:t>
      </w:r>
      <w:r>
        <w:rPr>
          <w:rFonts w:hint="eastAsia" w:ascii="仿宋_GB2312" w:hAnsi="宋体" w:eastAsia="仿宋_GB2312" w:cs="宋体"/>
          <w:color w:val="auto"/>
          <w:kern w:val="0"/>
          <w:sz w:val="32"/>
          <w:szCs w:val="32"/>
          <w:highlight w:val="none"/>
        </w:rPr>
        <w:t>年末，本行股</w:t>
      </w:r>
      <w:r>
        <w:rPr>
          <w:rFonts w:ascii="仿宋_GB2312" w:hAnsi="宋体" w:eastAsia="仿宋_GB2312" w:cs="宋体"/>
          <w:color w:val="auto"/>
          <w:kern w:val="0"/>
          <w:sz w:val="32"/>
          <w:szCs w:val="32"/>
          <w:highlight w:val="none"/>
        </w:rPr>
        <w:t>权均</w:t>
      </w:r>
      <w:r>
        <w:rPr>
          <w:rFonts w:hint="eastAsia" w:ascii="仿宋_GB2312" w:hAnsi="宋体" w:eastAsia="仿宋_GB2312" w:cs="宋体"/>
          <w:color w:val="auto"/>
          <w:kern w:val="0"/>
          <w:sz w:val="32"/>
          <w:szCs w:val="32"/>
          <w:highlight w:val="none"/>
        </w:rPr>
        <w:t>不</w:t>
      </w:r>
      <w:r>
        <w:rPr>
          <w:rFonts w:ascii="仿宋_GB2312" w:hAnsi="宋体" w:eastAsia="仿宋_GB2312" w:cs="宋体"/>
          <w:color w:val="auto"/>
          <w:kern w:val="0"/>
          <w:sz w:val="32"/>
          <w:szCs w:val="32"/>
          <w:highlight w:val="none"/>
        </w:rPr>
        <w:t>存在涉及司法</w:t>
      </w:r>
      <w:r>
        <w:rPr>
          <w:rFonts w:hint="eastAsia" w:ascii="仿宋_GB2312" w:hAnsi="宋体" w:eastAsia="仿宋_GB2312" w:cs="宋体"/>
          <w:color w:val="auto"/>
          <w:kern w:val="0"/>
          <w:sz w:val="32"/>
          <w:szCs w:val="32"/>
          <w:highlight w:val="none"/>
        </w:rPr>
        <w:t>冻结</w:t>
      </w:r>
      <w:r>
        <w:rPr>
          <w:rFonts w:ascii="仿宋_GB2312" w:hAnsi="宋体" w:eastAsia="仿宋_GB2312" w:cs="宋体"/>
          <w:color w:val="auto"/>
          <w:kern w:val="0"/>
          <w:sz w:val="32"/>
          <w:szCs w:val="32"/>
          <w:highlight w:val="none"/>
        </w:rPr>
        <w:t>情况。</w:t>
      </w:r>
    </w:p>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5.7</w:t>
      </w:r>
      <w:r>
        <w:rPr>
          <w:rFonts w:hint="eastAsia" w:ascii="仿宋_GB2312" w:hAnsi="宋体" w:eastAsia="仿宋_GB2312" w:cs="宋体"/>
          <w:b/>
          <w:color w:val="auto"/>
          <w:kern w:val="0"/>
          <w:sz w:val="32"/>
          <w:szCs w:val="32"/>
          <w:highlight w:val="none"/>
        </w:rPr>
        <w:t>主要股东及其</w:t>
      </w:r>
      <w:r>
        <w:rPr>
          <w:rFonts w:ascii="仿宋_GB2312" w:hAnsi="宋体" w:eastAsia="仿宋_GB2312" w:cs="宋体"/>
          <w:b/>
          <w:color w:val="auto"/>
          <w:kern w:val="0"/>
          <w:sz w:val="32"/>
          <w:szCs w:val="32"/>
          <w:highlight w:val="none"/>
        </w:rPr>
        <w:t>关联方的</w:t>
      </w:r>
      <w:r>
        <w:rPr>
          <w:rFonts w:hint="eastAsia" w:ascii="仿宋_GB2312" w:hAnsi="宋体" w:eastAsia="仿宋_GB2312" w:cs="宋体"/>
          <w:b/>
          <w:color w:val="auto"/>
          <w:kern w:val="0"/>
          <w:sz w:val="32"/>
          <w:szCs w:val="32"/>
          <w:highlight w:val="none"/>
        </w:rPr>
        <w:t>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2022年末，我行主要股东户数为11户，合计持股</w:t>
      </w:r>
      <w:r>
        <w:rPr>
          <w:rFonts w:ascii="仿宋_GB2312" w:hAnsi="宋体" w:eastAsia="仿宋_GB2312" w:cs="宋体"/>
          <w:color w:val="auto"/>
          <w:kern w:val="0"/>
          <w:sz w:val="32"/>
          <w:szCs w:val="32"/>
          <w:highlight w:val="none"/>
        </w:rPr>
        <w:t>23051</w:t>
      </w:r>
      <w:r>
        <w:rPr>
          <w:rFonts w:hint="eastAsia" w:ascii="仿宋_GB2312" w:hAnsi="宋体" w:eastAsia="仿宋_GB2312" w:cs="宋体"/>
          <w:color w:val="auto"/>
          <w:kern w:val="0"/>
          <w:sz w:val="32"/>
          <w:szCs w:val="32"/>
          <w:highlight w:val="none"/>
        </w:rPr>
        <w:t>万股，主要股东持股占比为</w:t>
      </w:r>
      <w:r>
        <w:rPr>
          <w:rFonts w:ascii="仿宋_GB2312" w:hAnsi="宋体" w:eastAsia="仿宋_GB2312" w:cs="宋体"/>
          <w:color w:val="auto"/>
          <w:kern w:val="0"/>
          <w:sz w:val="32"/>
          <w:szCs w:val="32"/>
          <w:highlight w:val="none"/>
        </w:rPr>
        <w:t>39.33</w:t>
      </w:r>
      <w:r>
        <w:rPr>
          <w:rFonts w:hint="eastAsia" w:ascii="仿宋_GB2312" w:hAnsi="宋体" w:eastAsia="仿宋_GB2312" w:cs="宋体"/>
          <w:color w:val="auto"/>
          <w:kern w:val="0"/>
          <w:sz w:val="32"/>
          <w:szCs w:val="32"/>
          <w:highlight w:val="none"/>
        </w:rPr>
        <w:t>%。主</w:t>
      </w:r>
      <w:r>
        <w:rPr>
          <w:rFonts w:ascii="仿宋_GB2312" w:hAnsi="宋体" w:eastAsia="仿宋_GB2312" w:cs="宋体"/>
          <w:color w:val="auto"/>
          <w:kern w:val="0"/>
          <w:sz w:val="32"/>
          <w:szCs w:val="32"/>
          <w:highlight w:val="none"/>
        </w:rPr>
        <w:t>要股东及其关联方情况如下：</w:t>
      </w:r>
    </w:p>
    <w:tbl>
      <w:tblPr>
        <w:tblStyle w:val="6"/>
        <w:tblW w:w="9209" w:type="dxa"/>
        <w:tblInd w:w="113" w:type="dxa"/>
        <w:tblLayout w:type="fixed"/>
        <w:tblCellMar>
          <w:top w:w="0" w:type="dxa"/>
          <w:left w:w="108" w:type="dxa"/>
          <w:bottom w:w="0" w:type="dxa"/>
          <w:right w:w="108" w:type="dxa"/>
        </w:tblCellMar>
      </w:tblPr>
      <w:tblGrid>
        <w:gridCol w:w="1727"/>
        <w:gridCol w:w="3797"/>
        <w:gridCol w:w="3685"/>
      </w:tblGrid>
      <w:tr>
        <w:tblPrEx>
          <w:tblLayout w:type="fixed"/>
          <w:tblCellMar>
            <w:top w:w="0" w:type="dxa"/>
            <w:left w:w="108" w:type="dxa"/>
            <w:bottom w:w="0" w:type="dxa"/>
            <w:right w:w="108" w:type="dxa"/>
          </w:tblCellMar>
        </w:tblPrEx>
        <w:trPr>
          <w:trHeight w:val="288" w:hRule="atLeast"/>
        </w:trPr>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主要股东名称</w:t>
            </w:r>
          </w:p>
        </w:tc>
        <w:tc>
          <w:tcPr>
            <w:tcW w:w="748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关联方</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江西省喜洋洋苗木有限公司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熊晋</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罗晖</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陈媛</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江西瑞鼎精密传动有限公司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付自强</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山东瑞鼎精密机械有限公司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江玲</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江西华硕控股集团有限公司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王志洪</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丁红</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江西高安市瑞酒有限责任公司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高安市独城供销商贸大市场有限公司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江西华硕建工集团有限公司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高安市华晨贸易有限公司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江西华硕实业投资有限公司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高安市精细化工有限责任公司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江西华硕陶瓷集团有限公司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高安市酒类供销有限责任公司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江西新景象陶瓷有限公司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高安市瑞州旋窑水泥粉磨站有限公司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佛山市金风陶瓷有限公司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江西华硕建工集团混凝土有限公司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佛山市金品德陶瓷有限公司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江西精陶科技有限公司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佛山市瑞品建材有限公司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江西美瑞斯克陶瓷有限公司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佛山市瑞雪苑陶瓷有限公司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江西瑞雪陶瓷有限公司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高安市瑞州特种建材装卸有限公司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江西省瑞州特种建材集团有限公司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江西华硕新材料科技有限公司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江西省泰王山泉饮料食品有限公司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江西华瑞新材料科技有限公司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江西陶臣陶瓷有限公司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江西华洪陶瓷有限公司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江西鑫芳化工有限公司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高安市华洪建材供应有限公司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江西众硕创业投资管理有限公司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高安市华洁物业有限公司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宜春市华硕置业有限公司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高安市华明房地产经纪有限公司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樟树市华硕置业有限公司</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江西瑞阳陶瓷有限责任公司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陈一鸣</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李梦莹</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陈光辉</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罗军香</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高安瑞阳陶瓷有限公司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江西沁园春陶瓷有限公司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江西瑞源陶瓷有限公司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高安市贸泰进出口贸易有限公司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高安市万瑞房地产开发有限公司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江西佳宇陶瓷有限公司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贾巨林</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刘敏</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贾宇</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江报花</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高安市佳宇加油站</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江西智博石化有限公司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江西冠利石化有限公司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江西宇博建材有限公司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江西珺珑文化传媒有限公司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江西国员包装有限公司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江西冠利陶瓷有限公司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江西国员陶瓷有限公司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江西雄安陶瓷有限公司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江西智博建材有限公司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江西泓兴源艺术陶瓷有限公司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高安市鸿伟物流市场实业有限公司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徐娟</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徐满华</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张庶强</w:t>
            </w:r>
          </w:p>
        </w:tc>
        <w:tc>
          <w:tcPr>
            <w:tcW w:w="3685" w:type="dxa"/>
            <w:tcBorders>
              <w:top w:val="nil"/>
              <w:left w:val="nil"/>
              <w:bottom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廖瑞凤</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徐刚</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高安东嘉商业管理有限公司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江西德胜商业管理有限公司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赣州磊诚企业管理有限公司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江西创高时泰商业管理有限公司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高安市风云实业有限公司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江西恒森投资有限公司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江西恒乐高实业有限公司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江西省乐亿融资担保有限公司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高安市森通景和房地产开发有限公司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赣州盛联企业管理有限公司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江西圣唐园林绿化有限公司</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江西罗纳尔陶瓷集团有限公司</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罗群</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刘美珍</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徐美琳</w:t>
            </w:r>
          </w:p>
        </w:tc>
        <w:tc>
          <w:tcPr>
            <w:tcW w:w="3685" w:type="dxa"/>
            <w:tcBorders>
              <w:top w:val="nil"/>
              <w:left w:val="nil"/>
              <w:bottom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罗佳英</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罗友军</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高安福罗伦陶瓷有限公司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佛山市禅城区鼎意整体家居店</w:t>
            </w:r>
          </w:p>
        </w:tc>
        <w:tc>
          <w:tcPr>
            <w:tcW w:w="3685" w:type="dxa"/>
            <w:tcBorders>
              <w:top w:val="nil"/>
              <w:left w:val="nil"/>
              <w:bottom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高安罗斯福陶瓷有限公司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佛山市福罗伦陶瓷有限公司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高安市盛发陶瓷销售有限公司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佛山市罗纳尔陶瓷有限公司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江西中腾锂电材料有限公司</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佛山市罗牌陶瓷有限公司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r>
        <w:tblPrEx>
          <w:tblLayout w:type="fixed"/>
          <w:tblCellMar>
            <w:top w:w="0" w:type="dxa"/>
            <w:left w:w="108" w:type="dxa"/>
            <w:bottom w:w="0" w:type="dxa"/>
            <w:right w:w="108" w:type="dxa"/>
          </w:tblCellMar>
        </w:tblPrEx>
        <w:trPr>
          <w:trHeight w:val="456"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高安市畜产品有限公司</w:t>
            </w:r>
          </w:p>
        </w:tc>
        <w:tc>
          <w:tcPr>
            <w:tcW w:w="3797" w:type="dxa"/>
            <w:tcBorders>
              <w:top w:val="nil"/>
              <w:left w:val="nil"/>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罗时通</w:t>
            </w:r>
          </w:p>
        </w:tc>
        <w:tc>
          <w:tcPr>
            <w:tcW w:w="3685" w:type="dxa"/>
            <w:tcBorders>
              <w:top w:val="nil"/>
              <w:left w:val="nil"/>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罗勤</w:t>
            </w:r>
          </w:p>
        </w:tc>
      </w:tr>
      <w:tr>
        <w:tblPrEx>
          <w:tblLayout w:type="fixed"/>
          <w:tblCellMar>
            <w:top w:w="0" w:type="dxa"/>
            <w:left w:w="108" w:type="dxa"/>
            <w:bottom w:w="0" w:type="dxa"/>
            <w:right w:w="108" w:type="dxa"/>
          </w:tblCellMar>
        </w:tblPrEx>
        <w:trPr>
          <w:trHeight w:val="55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高安市青龙粮油有限公司</w:t>
            </w:r>
          </w:p>
        </w:tc>
        <w:tc>
          <w:tcPr>
            <w:tcW w:w="3685" w:type="dxa"/>
            <w:tcBorders>
              <w:top w:val="nil"/>
              <w:left w:val="nil"/>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罗世清</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梁斌</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王璟璐</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熊南香</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梁雪光</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梁细梅</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江西瑞雪酒店管理有限公司</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高安市瑞雪房地产有限公司</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王尔鹏</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段文君</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王天星</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王翊茗</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廖香花</w:t>
            </w:r>
          </w:p>
        </w:tc>
      </w:tr>
      <w:tr>
        <w:tblPrEx>
          <w:tblLayout w:type="fixed"/>
          <w:tblCellMar>
            <w:top w:w="0" w:type="dxa"/>
            <w:left w:w="108" w:type="dxa"/>
            <w:bottom w:w="0" w:type="dxa"/>
            <w:right w:w="108" w:type="dxa"/>
          </w:tblCellMar>
        </w:tblPrEx>
        <w:trPr>
          <w:trHeight w:val="288" w:hRule="atLeast"/>
        </w:trPr>
        <w:tc>
          <w:tcPr>
            <w:tcW w:w="1727" w:type="dxa"/>
            <w:vMerge w:val="restart"/>
            <w:tcBorders>
              <w:top w:val="nil"/>
              <w:left w:val="single" w:color="auto" w:sz="4" w:space="0"/>
              <w:right w:val="single" w:color="auto" w:sz="4" w:space="0"/>
            </w:tcBorders>
            <w:shd w:val="clear" w:color="auto" w:fill="auto"/>
            <w:vAlign w:val="center"/>
          </w:tcPr>
          <w:p>
            <w:pPr>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何武纵</w:t>
            </w: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严艳</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何丁花</w:t>
            </w:r>
          </w:p>
        </w:tc>
      </w:tr>
      <w:tr>
        <w:tblPrEx>
          <w:tblLayout w:type="fixed"/>
          <w:tblCellMar>
            <w:top w:w="0" w:type="dxa"/>
            <w:left w:w="108" w:type="dxa"/>
            <w:bottom w:w="0" w:type="dxa"/>
            <w:right w:w="108" w:type="dxa"/>
          </w:tblCellMar>
        </w:tblPrEx>
        <w:trPr>
          <w:trHeight w:val="288" w:hRule="atLeast"/>
        </w:trPr>
        <w:tc>
          <w:tcPr>
            <w:tcW w:w="1727"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c>
          <w:tcPr>
            <w:tcW w:w="3797"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何宇烙</w:t>
            </w:r>
          </w:p>
        </w:tc>
        <w:tc>
          <w:tcPr>
            <w:tcW w:w="368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hint="eastAsia" w:ascii="仿宋_GB2312" w:hAnsi="仿宋_GB2312" w:eastAsia="仿宋_GB2312" w:cs="仿宋_GB2312"/>
                <w:color w:val="auto"/>
                <w:kern w:val="0"/>
                <w:sz w:val="24"/>
                <w:highlight w:val="none"/>
              </w:rPr>
            </w:pPr>
          </w:p>
        </w:tc>
      </w:tr>
    </w:tbl>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rPr>
        <w:t>8主要股东出质股权情况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2022年末，主要股东已办理股权质押的有</w:t>
      </w:r>
      <w:r>
        <w:rPr>
          <w:rFonts w:ascii="仿宋_GB2312" w:hAnsi="宋体" w:eastAsia="仿宋_GB2312" w:cs="宋体"/>
          <w:color w:val="auto"/>
          <w:kern w:val="0"/>
          <w:sz w:val="32"/>
          <w:szCs w:val="32"/>
          <w:highlight w:val="none"/>
        </w:rPr>
        <w:t>3</w:t>
      </w:r>
      <w:r>
        <w:rPr>
          <w:rFonts w:hint="eastAsia" w:ascii="仿宋_GB2312" w:hAnsi="宋体" w:eastAsia="仿宋_GB2312" w:cs="宋体"/>
          <w:color w:val="auto"/>
          <w:kern w:val="0"/>
          <w:sz w:val="32"/>
          <w:szCs w:val="32"/>
          <w:highlight w:val="none"/>
        </w:rPr>
        <w:t>户，质押股权份额为</w:t>
      </w:r>
      <w:r>
        <w:rPr>
          <w:rFonts w:ascii="仿宋_GB2312" w:hAnsi="宋体" w:eastAsia="仿宋_GB2312" w:cs="宋体"/>
          <w:color w:val="auto"/>
          <w:kern w:val="0"/>
          <w:sz w:val="32"/>
          <w:szCs w:val="32"/>
          <w:highlight w:val="none"/>
        </w:rPr>
        <w:t>2616</w:t>
      </w:r>
      <w:r>
        <w:rPr>
          <w:rFonts w:hint="eastAsia" w:ascii="仿宋_GB2312" w:hAnsi="宋体" w:eastAsia="仿宋_GB2312" w:cs="宋体"/>
          <w:color w:val="auto"/>
          <w:kern w:val="0"/>
          <w:sz w:val="32"/>
          <w:szCs w:val="32"/>
          <w:highlight w:val="none"/>
        </w:rPr>
        <w:t>万股，占主要股东股权总额的</w:t>
      </w:r>
      <w:r>
        <w:rPr>
          <w:rFonts w:ascii="仿宋_GB2312" w:hAnsi="宋体" w:eastAsia="仿宋_GB2312" w:cs="宋体"/>
          <w:color w:val="auto"/>
          <w:kern w:val="0"/>
          <w:sz w:val="32"/>
          <w:szCs w:val="32"/>
          <w:highlight w:val="none"/>
        </w:rPr>
        <w:t>11.35</w:t>
      </w:r>
      <w:r>
        <w:rPr>
          <w:rFonts w:hint="eastAsia" w:ascii="仿宋_GB2312" w:hAnsi="宋体" w:eastAsia="仿宋_GB2312" w:cs="宋体"/>
          <w:color w:val="auto"/>
          <w:kern w:val="0"/>
          <w:sz w:val="32"/>
          <w:szCs w:val="32"/>
          <w:highlight w:val="none"/>
        </w:rPr>
        <w:t>%。主要股东质押股权数量均</w:t>
      </w:r>
      <w:r>
        <w:rPr>
          <w:rFonts w:ascii="仿宋_GB2312" w:hAnsi="宋体" w:eastAsia="仿宋_GB2312" w:cs="宋体"/>
          <w:color w:val="auto"/>
          <w:kern w:val="0"/>
          <w:sz w:val="32"/>
          <w:szCs w:val="32"/>
          <w:highlight w:val="none"/>
        </w:rPr>
        <w:t>未</w:t>
      </w:r>
      <w:r>
        <w:rPr>
          <w:rFonts w:hint="eastAsia" w:ascii="仿宋_GB2312" w:hAnsi="宋体" w:eastAsia="仿宋_GB2312" w:cs="宋体"/>
          <w:color w:val="auto"/>
          <w:kern w:val="0"/>
          <w:sz w:val="32"/>
          <w:szCs w:val="32"/>
          <w:highlight w:val="none"/>
        </w:rPr>
        <w:t>超过其持有股权数量的</w:t>
      </w:r>
      <w:r>
        <w:rPr>
          <w:rFonts w:ascii="仿宋_GB2312" w:hAnsi="宋体" w:eastAsia="仿宋_GB2312" w:cs="宋体"/>
          <w:color w:val="auto"/>
          <w:kern w:val="0"/>
          <w:sz w:val="32"/>
          <w:szCs w:val="32"/>
          <w:highlight w:val="none"/>
        </w:rPr>
        <w:t>50%</w:t>
      </w:r>
      <w:r>
        <w:rPr>
          <w:rFonts w:hint="eastAsia" w:ascii="仿宋_GB2312" w:hAnsi="宋体" w:eastAsia="仿宋_GB2312" w:cs="宋体"/>
          <w:color w:val="auto"/>
          <w:kern w:val="0"/>
          <w:sz w:val="32"/>
          <w:szCs w:val="32"/>
          <w:highlight w:val="none"/>
        </w:rPr>
        <w:t>。</w:t>
      </w:r>
    </w:p>
    <w:tbl>
      <w:tblPr>
        <w:tblStyle w:val="6"/>
        <w:tblpPr w:leftFromText="180" w:rightFromText="180" w:vertAnchor="text" w:horzAnchor="margin" w:tblpY="40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155"/>
        <w:gridCol w:w="1305"/>
        <w:gridCol w:w="1005"/>
        <w:gridCol w:w="990"/>
        <w:gridCol w:w="100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widowControl/>
              <w:spacing w:line="360" w:lineRule="exact"/>
              <w:jc w:val="center"/>
              <w:rPr>
                <w:rFonts w:ascii="仿宋_GB2312" w:hAnsi="宋体" w:eastAsia="仿宋_GB2312" w:cs="宋体"/>
                <w:color w:val="auto"/>
                <w:kern w:val="0"/>
                <w:sz w:val="24"/>
                <w:highlight w:val="none"/>
              </w:rPr>
            </w:pPr>
            <w:r>
              <w:rPr>
                <w:rFonts w:hint="eastAsia" w:ascii="黑体" w:hAnsi="黑体" w:eastAsia="黑体" w:cs="黑体"/>
                <w:b/>
                <w:color w:val="auto"/>
                <w:kern w:val="0"/>
                <w:sz w:val="24"/>
                <w:highlight w:val="none"/>
              </w:rPr>
              <w:t>股东名称</w:t>
            </w:r>
          </w:p>
        </w:tc>
        <w:tc>
          <w:tcPr>
            <w:tcW w:w="1155"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2"/>
                <w:szCs w:val="22"/>
                <w:highlight w:val="none"/>
              </w:rPr>
              <w:t>被派驻人名称</w:t>
            </w:r>
          </w:p>
        </w:tc>
        <w:tc>
          <w:tcPr>
            <w:tcW w:w="1305"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4"/>
                <w:highlight w:val="none"/>
              </w:rPr>
              <w:t>担任职务</w:t>
            </w:r>
          </w:p>
        </w:tc>
        <w:tc>
          <w:tcPr>
            <w:tcW w:w="1005"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4"/>
                <w:highlight w:val="none"/>
              </w:rPr>
              <w:t>持股数额</w:t>
            </w:r>
          </w:p>
        </w:tc>
        <w:tc>
          <w:tcPr>
            <w:tcW w:w="990"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4"/>
                <w:highlight w:val="none"/>
              </w:rPr>
              <w:t>持股比例%</w:t>
            </w:r>
          </w:p>
        </w:tc>
        <w:tc>
          <w:tcPr>
            <w:tcW w:w="1005"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4"/>
                <w:highlight w:val="none"/>
              </w:rPr>
              <w:t>股权质押数额</w:t>
            </w:r>
          </w:p>
        </w:tc>
        <w:tc>
          <w:tcPr>
            <w:tcW w:w="837" w:type="dxa"/>
            <w:vAlign w:val="center"/>
          </w:tcPr>
          <w:p>
            <w:pPr>
              <w:widowControl/>
              <w:spacing w:line="360" w:lineRule="exact"/>
              <w:jc w:val="center"/>
              <w:rPr>
                <w:rFonts w:ascii="黑体" w:hAnsi="黑体" w:eastAsia="黑体" w:cs="黑体"/>
                <w:b/>
                <w:color w:val="auto"/>
                <w:kern w:val="0"/>
                <w:sz w:val="24"/>
                <w:highlight w:val="none"/>
              </w:rPr>
            </w:pPr>
            <w:r>
              <w:rPr>
                <w:rFonts w:hint="eastAsia" w:ascii="黑体" w:hAnsi="黑体" w:eastAsia="黑体" w:cs="黑体"/>
                <w:b/>
                <w:color w:val="auto"/>
                <w:kern w:val="0"/>
                <w:sz w:val="24"/>
                <w:highlight w:val="none"/>
              </w:rPr>
              <w:t>质押比例%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widowControl/>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江西省喜洋洋苗木有限公司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熊晋</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3713</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6.34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江西瑞鼎精密传动有限公司</w:t>
            </w:r>
          </w:p>
        </w:tc>
        <w:tc>
          <w:tcPr>
            <w:tcW w:w="1155" w:type="dxa"/>
            <w:vAlign w:val="center"/>
          </w:tcPr>
          <w:p>
            <w:pPr>
              <w:jc w:val="center"/>
              <w:rPr>
                <w:rFonts w:hint="eastAsia" w:ascii="仿宋_GB2312" w:hAnsi="仿宋_GB2312" w:eastAsia="仿宋_GB2312" w:cs="仿宋_GB2312"/>
                <w:color w:val="auto"/>
                <w:sz w:val="24"/>
                <w:highlight w:val="none"/>
              </w:rPr>
            </w:pPr>
          </w:p>
        </w:tc>
        <w:tc>
          <w:tcPr>
            <w:tcW w:w="1305" w:type="dxa"/>
            <w:vAlign w:val="center"/>
          </w:tcPr>
          <w:p>
            <w:pPr>
              <w:jc w:val="center"/>
              <w:rPr>
                <w:rFonts w:hint="eastAsia" w:ascii="仿宋_GB2312" w:hAnsi="仿宋_GB2312" w:eastAsia="仿宋_GB2312" w:cs="仿宋_GB2312"/>
                <w:color w:val="auto"/>
                <w:sz w:val="24"/>
                <w:highlight w:val="none"/>
              </w:rPr>
            </w:pP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3304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5.64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江西华硕控股集团有限公司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王志洪</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3235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5.52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江西瑞阳陶瓷有限责任公司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陈一鸣</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2980</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5.08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江西佳宇陶瓷有限公司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贾宇</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2799</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4.77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1193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高安市鸿伟物流市场实业有限公司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徐娟</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2379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4.06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江西罗纳尔陶瓷集团有限公司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罗群</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2371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4.05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1122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47.31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高安市畜产品有限公司</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罗时通</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董事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1532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2.61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梁斌</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梁斌</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616 </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1.05 </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301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王尔鹏</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王尔鹏</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0.11</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何武纵</w:t>
            </w:r>
          </w:p>
        </w:tc>
        <w:tc>
          <w:tcPr>
            <w:tcW w:w="115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何武纵</w:t>
            </w:r>
          </w:p>
        </w:tc>
        <w:tc>
          <w:tcPr>
            <w:tcW w:w="13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监事</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59</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0.1</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2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1155" w:type="dxa"/>
            <w:vAlign w:val="center"/>
          </w:tcPr>
          <w:p>
            <w:pPr>
              <w:jc w:val="center"/>
              <w:rPr>
                <w:rFonts w:hint="eastAsia" w:ascii="仿宋_GB2312" w:hAnsi="仿宋_GB2312" w:eastAsia="仿宋_GB2312" w:cs="仿宋_GB2312"/>
                <w:color w:val="auto"/>
                <w:sz w:val="24"/>
                <w:highlight w:val="none"/>
              </w:rPr>
            </w:pPr>
          </w:p>
        </w:tc>
        <w:tc>
          <w:tcPr>
            <w:tcW w:w="1305" w:type="dxa"/>
            <w:vAlign w:val="center"/>
          </w:tcPr>
          <w:p>
            <w:pPr>
              <w:jc w:val="center"/>
              <w:rPr>
                <w:rFonts w:hint="eastAsia" w:ascii="仿宋_GB2312" w:hAnsi="仿宋_GB2312" w:eastAsia="仿宋_GB2312" w:cs="仿宋_GB2312"/>
                <w:color w:val="auto"/>
                <w:sz w:val="24"/>
                <w:highlight w:val="none"/>
              </w:rPr>
            </w:pP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23051</w:t>
            </w:r>
          </w:p>
        </w:tc>
        <w:tc>
          <w:tcPr>
            <w:tcW w:w="9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39.33</w:t>
            </w:r>
          </w:p>
        </w:tc>
        <w:tc>
          <w:tcPr>
            <w:tcW w:w="10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2616</w:t>
            </w:r>
          </w:p>
        </w:tc>
        <w:tc>
          <w:tcPr>
            <w:tcW w:w="83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11.35</w:t>
            </w:r>
          </w:p>
        </w:tc>
      </w:tr>
    </w:tbl>
    <w:p>
      <w:pPr>
        <w:widowControl/>
        <w:shd w:val="clear" w:color="auto" w:fill="FFFFFF"/>
        <w:spacing w:line="360" w:lineRule="exact"/>
        <w:ind w:firstLine="640" w:firstLineChars="200"/>
        <w:jc w:val="righ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单位：人民币</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万股</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六、风险管理情况</w:t>
      </w:r>
    </w:p>
    <w:p>
      <w:pPr>
        <w:widowControl/>
        <w:shd w:val="clear" w:color="auto" w:fill="FFFFFF"/>
        <w:tabs>
          <w:tab w:val="left" w:pos="630"/>
        </w:tabs>
        <w:spacing w:line="440" w:lineRule="exact"/>
        <w:ind w:left="7015" w:leftChars="284" w:hanging="6419" w:hangingChars="1998"/>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6.1</w:t>
      </w:r>
      <w:r>
        <w:rPr>
          <w:rFonts w:hint="eastAsia" w:ascii="仿宋_GB2312" w:hAnsi="宋体" w:eastAsia="仿宋_GB2312" w:cs="宋体"/>
          <w:b/>
          <w:color w:val="auto"/>
          <w:kern w:val="0"/>
          <w:sz w:val="32"/>
          <w:szCs w:val="32"/>
          <w:highlight w:val="none"/>
        </w:rPr>
        <w:t>主要监管指标情况</w:t>
      </w:r>
      <w:r>
        <w:rPr>
          <w:rFonts w:ascii="仿宋_GB2312" w:hAnsi="宋体" w:eastAsia="仿宋_GB2312" w:cs="宋体"/>
          <w:b/>
          <w:bCs/>
          <w:color w:val="auto"/>
          <w:kern w:val="0"/>
          <w:sz w:val="32"/>
          <w:szCs w:val="32"/>
          <w:highlight w:val="none"/>
        </w:rPr>
        <w:t xml:space="preserve"> </w:t>
      </w:r>
    </w:p>
    <w:p>
      <w:pPr>
        <w:widowControl/>
        <w:shd w:val="clear" w:color="auto" w:fill="FFFFFF"/>
        <w:tabs>
          <w:tab w:val="left" w:pos="630"/>
        </w:tabs>
        <w:spacing w:line="440" w:lineRule="exact"/>
        <w:ind w:left="6989" w:leftChars="284" w:hanging="6393" w:hangingChars="1998"/>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单位：</w:t>
      </w:r>
      <w:r>
        <w:rPr>
          <w:rFonts w:ascii="仿宋_GB2312" w:hAnsi="宋体" w:eastAsia="仿宋_GB2312" w:cs="宋体"/>
          <w:color w:val="auto"/>
          <w:kern w:val="0"/>
          <w:sz w:val="32"/>
          <w:szCs w:val="32"/>
          <w:highlight w:val="none"/>
        </w:rPr>
        <w:t>%</w:t>
      </w:r>
    </w:p>
    <w:tbl>
      <w:tblPr>
        <w:tblStyle w:val="6"/>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648"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年末</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监管要求</w:t>
            </w:r>
          </w:p>
        </w:tc>
      </w:tr>
      <w:tr>
        <w:tblPrEx>
          <w:tblLayout w:type="fixed"/>
          <w:tblCellMar>
            <w:top w:w="0" w:type="dxa"/>
            <w:left w:w="108" w:type="dxa"/>
            <w:bottom w:w="0" w:type="dxa"/>
            <w:right w:w="108" w:type="dxa"/>
          </w:tblCellMar>
        </w:tblPrEx>
        <w:trPr>
          <w:trHeight w:val="27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资本充足率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14.41</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&gt;=</w:t>
            </w:r>
            <w:r>
              <w:rPr>
                <w:rFonts w:ascii="仿宋_GB2312" w:hAnsi="宋体" w:eastAsia="仿宋_GB2312" w:cs="宋体"/>
                <w:color w:val="auto"/>
                <w:kern w:val="0"/>
                <w:sz w:val="28"/>
                <w:szCs w:val="28"/>
                <w:highlight w:val="none"/>
              </w:rPr>
              <w:t>10.5%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流动性比例</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54.23</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&gt;=</w:t>
            </w:r>
            <w:r>
              <w:rPr>
                <w:rFonts w:ascii="仿宋_GB2312" w:hAnsi="宋体" w:eastAsia="仿宋_GB2312" w:cs="宋体"/>
                <w:color w:val="auto"/>
                <w:kern w:val="0"/>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不良贷款率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1.43</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&lt;=</w:t>
            </w:r>
            <w:r>
              <w:rPr>
                <w:rFonts w:ascii="仿宋_GB2312" w:hAnsi="宋体" w:eastAsia="仿宋_GB2312" w:cs="宋体"/>
                <w:color w:val="auto"/>
                <w:kern w:val="0"/>
                <w:sz w:val="28"/>
                <w:szCs w:val="28"/>
                <w:highlight w:val="none"/>
              </w:rPr>
              <w:t>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贷款损失准备覆盖率</w:t>
            </w:r>
          </w:p>
        </w:tc>
        <w:tc>
          <w:tcPr>
            <w:tcW w:w="2700"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468.28</w:t>
            </w:r>
            <w:r>
              <w:rPr>
                <w:rFonts w:ascii="仿宋_GB2312" w:hAnsi="宋体" w:eastAsia="仿宋_GB2312" w:cs="宋体"/>
                <w:color w:val="auto"/>
                <w:kern w:val="0"/>
                <w:sz w:val="28"/>
                <w:szCs w:val="28"/>
                <w:highlight w:val="none"/>
              </w:rPr>
              <w:t>%</w:t>
            </w:r>
          </w:p>
        </w:tc>
        <w:tc>
          <w:tcPr>
            <w:tcW w:w="21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成本收入比率</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23.49</w:t>
            </w:r>
            <w:r>
              <w:rPr>
                <w:rFonts w:ascii="仿宋_GB2312" w:hAnsi="宋体" w:eastAsia="仿宋_GB2312" w:cs="宋体"/>
                <w:color w:val="auto"/>
                <w:kern w:val="0"/>
                <w:sz w:val="28"/>
                <w:szCs w:val="28"/>
                <w:highlight w:val="none"/>
              </w:rPr>
              <w:t>%</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&lt;=</w:t>
            </w:r>
            <w:r>
              <w:rPr>
                <w:rFonts w:ascii="仿宋_GB2312" w:hAnsi="宋体" w:eastAsia="仿宋_GB2312" w:cs="宋体"/>
                <w:color w:val="auto"/>
                <w:kern w:val="0"/>
                <w:sz w:val="28"/>
                <w:szCs w:val="28"/>
                <w:highlight w:val="none"/>
              </w:rPr>
              <w:t>35%</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6.2</w:t>
      </w:r>
      <w:r>
        <w:rPr>
          <w:rFonts w:hint="eastAsia" w:ascii="仿宋_GB2312" w:hAnsi="宋体" w:eastAsia="仿宋_GB2312" w:cs="宋体"/>
          <w:b/>
          <w:color w:val="auto"/>
          <w:kern w:val="0"/>
          <w:sz w:val="32"/>
          <w:szCs w:val="32"/>
          <w:highlight w:val="none"/>
        </w:rPr>
        <w:t>贷款主要行业分布</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仿宋_GB2312" w:hAnsi="仿宋_GB2312" w:eastAsia="仿宋_GB2312" w:cs="仿宋_GB2312"/>
          <w:color w:val="auto"/>
          <w:kern w:val="0"/>
          <w:sz w:val="28"/>
          <w:szCs w:val="28"/>
          <w:highlight w:val="none"/>
        </w:rPr>
        <w:t>单位：人民币 万元</w:t>
      </w:r>
      <w:r>
        <w:rPr>
          <w:rFonts w:ascii="??_GB2312" w:hAnsi="宋体" w:eastAsia="Times New Roman" w:cs="宋体"/>
          <w:color w:val="auto"/>
          <w:kern w:val="0"/>
          <w:sz w:val="32"/>
          <w:szCs w:val="32"/>
          <w:highlight w:val="none"/>
        </w:rPr>
        <w:t xml:space="preserve"> </w:t>
      </w:r>
    </w:p>
    <w:tbl>
      <w:tblPr>
        <w:tblStyle w:val="6"/>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年末余额</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占贷款总额比例（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农、林、牧、渔业</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rPr>
              <w:t>658814</w:t>
            </w:r>
          </w:p>
        </w:tc>
        <w:tc>
          <w:tcPr>
            <w:tcW w:w="21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47.8</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制造业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rPr>
              <w:t>212485</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15.42</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个人消费性贷款</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rPr>
              <w:t>146509</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10.63</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批发和零售业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rPr>
              <w:t>60803</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4.41</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建筑业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rPr>
              <w:t>63199</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4.59</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c>
          <w:tcPr>
            <w:tcW w:w="27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1141810</w:t>
            </w:r>
          </w:p>
        </w:tc>
        <w:tc>
          <w:tcPr>
            <w:tcW w:w="2160" w:type="dxa"/>
            <w:tcBorders>
              <w:top w:val="nil"/>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82.84</w:t>
            </w:r>
            <w:r>
              <w:rPr>
                <w:rFonts w:hint="eastAsia" w:ascii="仿宋_GB2312" w:hAnsi="仿宋_GB2312" w:eastAsia="仿宋_GB2312" w:cs="仿宋_GB2312"/>
                <w:color w:val="auto"/>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6.3</w:t>
      </w:r>
      <w:r>
        <w:rPr>
          <w:rFonts w:hint="eastAsia" w:ascii="仿宋_GB2312" w:hAnsi="宋体" w:eastAsia="仿宋_GB2312" w:cs="宋体"/>
          <w:b/>
          <w:color w:val="auto"/>
          <w:kern w:val="0"/>
          <w:sz w:val="32"/>
          <w:szCs w:val="32"/>
          <w:highlight w:val="none"/>
        </w:rPr>
        <w:t>涉农贷款情况</w:t>
      </w:r>
    </w:p>
    <w:p>
      <w:pPr>
        <w:widowControl/>
        <w:shd w:val="clear" w:color="auto" w:fill="FFFFFF"/>
        <w:spacing w:line="440" w:lineRule="exact"/>
        <w:jc w:val="left"/>
        <w:rPr>
          <w:rFonts w:ascii="宋体" w:cs="宋体"/>
          <w:color w:val="auto"/>
          <w:kern w:val="0"/>
          <w:sz w:val="28"/>
          <w:szCs w:val="28"/>
          <w:highlight w:val="none"/>
        </w:rPr>
      </w:pPr>
      <w:r>
        <w:rPr>
          <w:rFonts w:ascii="??_GB2312" w:hAnsi="宋体" w:eastAsia="Times New Roman" w:cs="宋体"/>
          <w:color w:val="auto"/>
          <w:kern w:val="0"/>
          <w:sz w:val="32"/>
          <w:szCs w:val="32"/>
          <w:highlight w:val="none"/>
        </w:rPr>
        <w:t xml:space="preserve">                                     </w:t>
      </w: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6"/>
        <w:tblW w:w="8270" w:type="dxa"/>
        <w:jc w:val="center"/>
        <w:tblInd w:w="0" w:type="dxa"/>
        <w:tblLayout w:type="fixed"/>
        <w:tblCellMar>
          <w:top w:w="0" w:type="dxa"/>
          <w:left w:w="108" w:type="dxa"/>
          <w:bottom w:w="0" w:type="dxa"/>
          <w:right w:w="108" w:type="dxa"/>
        </w:tblCellMar>
      </w:tblPr>
      <w:tblGrid>
        <w:gridCol w:w="4512"/>
        <w:gridCol w:w="3758"/>
      </w:tblGrid>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各项贷款余额</w:t>
            </w:r>
          </w:p>
        </w:tc>
        <w:tc>
          <w:tcPr>
            <w:tcW w:w="3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1378316</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其中：涉农贷款余额</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763835</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154166</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5347</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12.59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涉农贷款增幅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0.7</w:t>
            </w:r>
            <w:r>
              <w:rPr>
                <w:rFonts w:hint="eastAsia" w:ascii="仿宋_GB2312" w:hAnsi="仿宋_GB2312" w:eastAsia="仿宋_GB2312" w:cs="仿宋_GB2312"/>
                <w:color w:val="auto"/>
                <w:kern w:val="0"/>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6.4</w:t>
      </w:r>
      <w:r>
        <w:rPr>
          <w:rFonts w:hint="eastAsia" w:ascii="仿宋_GB2312" w:hAnsi="宋体" w:eastAsia="仿宋_GB2312" w:cs="宋体"/>
          <w:b/>
          <w:color w:val="auto"/>
          <w:kern w:val="0"/>
          <w:sz w:val="32"/>
          <w:szCs w:val="32"/>
          <w:highlight w:val="none"/>
        </w:rPr>
        <w:t>最大十户贷款</w:t>
      </w:r>
    </w:p>
    <w:p>
      <w:pPr>
        <w:widowControl/>
        <w:shd w:val="clear" w:color="auto" w:fill="FFFFFF"/>
        <w:tabs>
          <w:tab w:val="left" w:pos="630"/>
        </w:tabs>
        <w:spacing w:line="440" w:lineRule="exact"/>
        <w:jc w:val="right"/>
        <w:rPr>
          <w:rFonts w:ascii="仿宋_GB2312" w:hAnsi="宋体" w:eastAsia="仿宋_GB2312" w:cs="宋体"/>
          <w:b/>
          <w:color w:val="auto"/>
          <w:kern w:val="0"/>
          <w:sz w:val="28"/>
          <w:szCs w:val="28"/>
          <w:highlight w:val="none"/>
        </w:rPr>
      </w:pP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6"/>
        <w:tblW w:w="8295" w:type="dxa"/>
        <w:jc w:val="center"/>
        <w:tblInd w:w="0" w:type="dxa"/>
        <w:tblLayout w:type="fixed"/>
        <w:tblCellMar>
          <w:top w:w="0" w:type="dxa"/>
          <w:left w:w="108" w:type="dxa"/>
          <w:bottom w:w="0" w:type="dxa"/>
          <w:right w:w="108" w:type="dxa"/>
        </w:tblCellMar>
      </w:tblPr>
      <w:tblGrid>
        <w:gridCol w:w="876"/>
        <w:gridCol w:w="3975"/>
        <w:gridCol w:w="1950"/>
        <w:gridCol w:w="1494"/>
      </w:tblGrid>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3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客户名称</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4"/>
                <w:szCs w:val="24"/>
                <w:highlight w:val="none"/>
              </w:rPr>
            </w:pPr>
            <w:r>
              <w:rPr>
                <w:rFonts w:ascii="黑体" w:hAnsi="黑体" w:eastAsia="黑体" w:cs="黑体"/>
                <w:b/>
                <w:bCs/>
                <w:color w:val="auto"/>
                <w:kern w:val="0"/>
                <w:sz w:val="24"/>
                <w:szCs w:val="24"/>
                <w:highlight w:val="none"/>
              </w:rPr>
              <w:t>20</w:t>
            </w:r>
            <w:r>
              <w:rPr>
                <w:rFonts w:hint="eastAsia" w:ascii="黑体" w:hAnsi="黑体" w:eastAsia="黑体" w:cs="黑体"/>
                <w:b/>
                <w:bCs/>
                <w:color w:val="auto"/>
                <w:kern w:val="0"/>
                <w:sz w:val="24"/>
                <w:szCs w:val="24"/>
                <w:highlight w:val="none"/>
              </w:rPr>
              <w:t>2</w:t>
            </w:r>
            <w:r>
              <w:rPr>
                <w:rFonts w:hint="eastAsia" w:ascii="黑体" w:hAnsi="黑体" w:eastAsia="黑体" w:cs="黑体"/>
                <w:b/>
                <w:bCs/>
                <w:color w:val="auto"/>
                <w:kern w:val="0"/>
                <w:sz w:val="24"/>
                <w:szCs w:val="24"/>
                <w:highlight w:val="none"/>
                <w:lang w:val="en-US" w:eastAsia="zh-CN"/>
              </w:rPr>
              <w:t>2</w:t>
            </w:r>
            <w:r>
              <w:rPr>
                <w:rFonts w:hint="eastAsia" w:ascii="黑体" w:hAnsi="黑体" w:eastAsia="黑体" w:cs="黑体"/>
                <w:b/>
                <w:bCs/>
                <w:color w:val="auto"/>
                <w:kern w:val="0"/>
                <w:sz w:val="24"/>
                <w:szCs w:val="24"/>
                <w:highlight w:val="none"/>
              </w:rPr>
              <w:t>年贷款余额</w:t>
            </w:r>
          </w:p>
        </w:tc>
        <w:tc>
          <w:tcPr>
            <w:tcW w:w="1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占贷款总额比例（</w:t>
            </w:r>
            <w:r>
              <w:rPr>
                <w:rFonts w:ascii="黑体" w:hAnsi="黑体" w:eastAsia="黑体" w:cs="黑体"/>
                <w:b/>
                <w:bCs/>
                <w:color w:val="auto"/>
                <w:kern w:val="0"/>
                <w:sz w:val="24"/>
                <w:szCs w:val="24"/>
                <w:highlight w:val="none"/>
              </w:rPr>
              <w:t>%</w:t>
            </w:r>
            <w:r>
              <w:rPr>
                <w:rFonts w:hint="eastAsia" w:ascii="黑体" w:hAnsi="黑体" w:eastAsia="黑体" w:cs="黑体"/>
                <w:b/>
                <w:bCs/>
                <w:color w:val="auto"/>
                <w:kern w:val="0"/>
                <w:sz w:val="24"/>
                <w:szCs w:val="24"/>
                <w:highlight w:val="none"/>
              </w:rPr>
              <w:t>）</w:t>
            </w:r>
          </w:p>
        </w:tc>
      </w:tr>
      <w:tr>
        <w:tblPrEx>
          <w:tblLayout w:type="fixed"/>
          <w:tblCellMar>
            <w:top w:w="0" w:type="dxa"/>
            <w:left w:w="108" w:type="dxa"/>
            <w:bottom w:w="0" w:type="dxa"/>
            <w:right w:w="108" w:type="dxa"/>
          </w:tblCellMar>
        </w:tblPrEx>
        <w:trPr>
          <w:trHeight w:val="3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江西瑞源陶瓷有限公司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13800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高安罗斯福陶瓷有限公司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13200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0.96</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江西省喜洋洋苗木有限公司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11500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0.83</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0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高安市瑞雪宾馆</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10500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0.76</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62"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江西瑞州建设集团有限公司</w:t>
            </w:r>
          </w:p>
        </w:tc>
        <w:tc>
          <w:tcPr>
            <w:tcW w:w="19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9000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0.65</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江西恩泽建设工程有限公司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8450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0.61</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高安市畜产品有限公司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8000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0.58</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30"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高安市风云实业有限公司</w:t>
            </w:r>
          </w:p>
        </w:tc>
        <w:tc>
          <w:tcPr>
            <w:tcW w:w="19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7720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0.56</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w:t>
            </w:r>
          </w:p>
        </w:tc>
        <w:tc>
          <w:tcPr>
            <w:tcW w:w="3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高安德和实业有限公司</w:t>
            </w:r>
          </w:p>
        </w:tc>
        <w:tc>
          <w:tcPr>
            <w:tcW w:w="1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7700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0.56</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295"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江西恒乐高实业有限公司</w:t>
            </w:r>
          </w:p>
        </w:tc>
        <w:tc>
          <w:tcPr>
            <w:tcW w:w="19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7470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0.54</w:t>
            </w:r>
            <w:r>
              <w:rPr>
                <w:rFonts w:hint="eastAsia" w:ascii="宋体" w:hAnsi="宋体" w:cs="宋体"/>
                <w:i w:val="0"/>
                <w:color w:val="auto"/>
                <w:kern w:val="0"/>
                <w:sz w:val="22"/>
                <w:szCs w:val="22"/>
                <w:highlight w:val="none"/>
                <w:u w:val="none"/>
                <w:lang w:val="en-US" w:eastAsia="zh-CN" w:bidi="ar"/>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6.5</w:t>
      </w:r>
      <w:r>
        <w:rPr>
          <w:rFonts w:hint="eastAsia" w:ascii="仿宋_GB2312" w:hAnsi="宋体" w:eastAsia="仿宋_GB2312" w:cs="宋体"/>
          <w:b/>
          <w:color w:val="auto"/>
          <w:kern w:val="0"/>
          <w:sz w:val="32"/>
          <w:szCs w:val="32"/>
          <w:highlight w:val="none"/>
        </w:rPr>
        <w:t>贷款风险分类和不良贷款情况</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_GB2312" w:hAnsi="宋体" w:cs="宋体"/>
          <w:color w:val="auto"/>
          <w:kern w:val="0"/>
          <w:sz w:val="32"/>
          <w:szCs w:val="32"/>
          <w:highlight w:val="none"/>
          <w:lang w:val="en-US" w:eastAsia="zh-CN"/>
        </w:rPr>
        <w:t xml:space="preserve">   </w:t>
      </w:r>
      <w:r>
        <w:rPr>
          <w:rFonts w:ascii="??_GB2312" w:hAnsi="宋体" w:eastAsia="Times New Roman" w:cs="宋体"/>
          <w:color w:val="auto"/>
          <w:kern w:val="0"/>
          <w:sz w:val="28"/>
          <w:szCs w:val="28"/>
          <w:highlight w:val="none"/>
        </w:rPr>
        <w:t>单位：人民币 万元</w:t>
      </w:r>
    </w:p>
    <w:tbl>
      <w:tblPr>
        <w:tblStyle w:val="6"/>
        <w:tblW w:w="8280" w:type="dxa"/>
        <w:jc w:val="center"/>
        <w:tblInd w:w="0" w:type="dxa"/>
        <w:tblLayout w:type="fixed"/>
        <w:tblCellMar>
          <w:top w:w="0" w:type="dxa"/>
          <w:left w:w="108" w:type="dxa"/>
          <w:bottom w:w="0" w:type="dxa"/>
          <w:right w:w="108" w:type="dxa"/>
        </w:tblCellMar>
      </w:tblPr>
      <w:tblGrid>
        <w:gridCol w:w="2340"/>
        <w:gridCol w:w="3600"/>
        <w:gridCol w:w="2340"/>
      </w:tblGrid>
      <w:tr>
        <w:tblPrEx>
          <w:tblLayout w:type="fixed"/>
          <w:tblCellMar>
            <w:top w:w="0" w:type="dxa"/>
            <w:left w:w="108" w:type="dxa"/>
            <w:bottom w:w="0" w:type="dxa"/>
            <w:right w:w="108" w:type="dxa"/>
          </w:tblCellMar>
        </w:tblPrEx>
        <w:trPr>
          <w:trHeight w:val="36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年末余额</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占比（</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380"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正常</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2"/>
                <w:szCs w:val="22"/>
                <w:highlight w:val="none"/>
                <w:u w:val="none"/>
                <w:lang w:val="en-US" w:eastAsia="zh-CN" w:bidi="ar"/>
              </w:rPr>
              <w:t>1321490.59</w:t>
            </w:r>
          </w:p>
        </w:tc>
        <w:tc>
          <w:tcPr>
            <w:tcW w:w="23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95.88</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6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关注</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4"/>
                <w:szCs w:val="24"/>
                <w:highlight w:val="none"/>
                <w:u w:val="none"/>
                <w:lang w:val="en-US" w:eastAsia="zh-CN" w:bidi="ar"/>
              </w:rPr>
              <w:t>38458.73</w:t>
            </w:r>
          </w:p>
        </w:tc>
        <w:tc>
          <w:tcPr>
            <w:tcW w:w="23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2.79</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37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4"/>
                <w:szCs w:val="24"/>
                <w:highlight w:val="none"/>
                <w:u w:val="none"/>
                <w:lang w:val="en-US" w:eastAsia="zh-CN" w:bidi="ar"/>
              </w:rPr>
              <w:t>10825.99</w:t>
            </w:r>
          </w:p>
        </w:tc>
        <w:tc>
          <w:tcPr>
            <w:tcW w:w="2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0.79</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40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4"/>
                <w:szCs w:val="24"/>
                <w:highlight w:val="none"/>
                <w:u w:val="none"/>
                <w:lang w:val="en-US" w:eastAsia="zh-CN" w:bidi="ar"/>
              </w:rPr>
              <w:t>6642.66</w:t>
            </w:r>
          </w:p>
        </w:tc>
        <w:tc>
          <w:tcPr>
            <w:tcW w:w="2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0.48</w:t>
            </w:r>
            <w:r>
              <w:rPr>
                <w:rFonts w:hint="eastAsia" w:ascii="宋体" w:hAnsi="宋体" w:cs="宋体"/>
                <w:i w:val="0"/>
                <w:color w:val="auto"/>
                <w:kern w:val="0"/>
                <w:sz w:val="22"/>
                <w:szCs w:val="22"/>
                <w:highlight w:val="none"/>
                <w:u w:val="none"/>
                <w:lang w:val="en-US" w:eastAsia="zh-CN" w:bidi="ar"/>
              </w:rPr>
              <w:t>%</w:t>
            </w:r>
          </w:p>
        </w:tc>
      </w:tr>
      <w:tr>
        <w:tblPrEx>
          <w:tblLayout w:type="fixed"/>
          <w:tblCellMar>
            <w:top w:w="0" w:type="dxa"/>
            <w:left w:w="108" w:type="dxa"/>
            <w:bottom w:w="0" w:type="dxa"/>
            <w:right w:w="108" w:type="dxa"/>
          </w:tblCellMar>
        </w:tblPrEx>
        <w:trPr>
          <w:trHeight w:val="40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损失</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highlight w:val="none"/>
              </w:rPr>
            </w:pPr>
            <w:r>
              <w:rPr>
                <w:rFonts w:hint="eastAsia" w:ascii="宋体" w:hAnsi="宋体" w:eastAsia="宋体" w:cs="宋体"/>
                <w:i w:val="0"/>
                <w:color w:val="auto"/>
                <w:kern w:val="0"/>
                <w:sz w:val="24"/>
                <w:szCs w:val="24"/>
                <w:highlight w:val="none"/>
                <w:u w:val="none"/>
                <w:lang w:val="en-US" w:eastAsia="zh-CN" w:bidi="ar"/>
              </w:rPr>
              <w:t>897.93</w:t>
            </w:r>
          </w:p>
        </w:tc>
        <w:tc>
          <w:tcPr>
            <w:tcW w:w="23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lang w:val="en-US"/>
              </w:rPr>
            </w:pPr>
            <w:r>
              <w:rPr>
                <w:rFonts w:hint="eastAsia" w:ascii="宋体" w:hAnsi="宋体" w:eastAsia="宋体" w:cs="宋体"/>
                <w:i w:val="0"/>
                <w:color w:val="auto"/>
                <w:kern w:val="0"/>
                <w:sz w:val="22"/>
                <w:szCs w:val="22"/>
                <w:highlight w:val="none"/>
                <w:u w:val="none"/>
                <w:lang w:val="en-US" w:eastAsia="zh-CN" w:bidi="ar"/>
              </w:rPr>
              <w:t>0.07</w:t>
            </w:r>
            <w:r>
              <w:rPr>
                <w:rFonts w:hint="eastAsia" w:ascii="宋体" w:hAnsi="宋体" w:cs="宋体"/>
                <w:i w:val="0"/>
                <w:color w:val="auto"/>
                <w:kern w:val="0"/>
                <w:sz w:val="22"/>
                <w:szCs w:val="22"/>
                <w:highlight w:val="none"/>
                <w:u w:val="none"/>
                <w:lang w:val="en-US" w:eastAsia="zh-CN" w:bidi="ar"/>
              </w:rPr>
              <w:t>%</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kern w:val="0"/>
          <w:sz w:val="32"/>
          <w:szCs w:val="32"/>
          <w:highlight w:val="none"/>
        </w:rPr>
      </w:pPr>
      <w:r>
        <w:rPr>
          <w:rFonts w:ascii="仿宋_GB2312" w:hAnsi="宋体" w:eastAsia="仿宋_GB2312" w:cs="宋体"/>
          <w:b/>
          <w:kern w:val="0"/>
          <w:sz w:val="32"/>
          <w:szCs w:val="32"/>
          <w:highlight w:val="none"/>
        </w:rPr>
        <w:t>6.6</w:t>
      </w:r>
      <w:r>
        <w:rPr>
          <w:rFonts w:hint="eastAsia" w:ascii="仿宋_GB2312" w:hAnsi="宋体" w:eastAsia="仿宋_GB2312" w:cs="宋体"/>
          <w:b/>
          <w:kern w:val="0"/>
          <w:sz w:val="32"/>
          <w:szCs w:val="32"/>
          <w:highlight w:val="none"/>
        </w:rPr>
        <w:t>贷款损失准备情况</w:t>
      </w:r>
    </w:p>
    <w:p>
      <w:pPr>
        <w:widowControl/>
        <w:shd w:val="clear" w:color="auto" w:fill="FFFFFF"/>
        <w:spacing w:line="440" w:lineRule="exact"/>
        <w:jc w:val="left"/>
        <w:rPr>
          <w:rFonts w:ascii="宋体" w:cs="宋体"/>
          <w:kern w:val="0"/>
          <w:sz w:val="32"/>
          <w:szCs w:val="32"/>
          <w:highlight w:val="none"/>
        </w:rPr>
      </w:pPr>
      <w:r>
        <w:rPr>
          <w:rFonts w:ascii="仿宋_GB2312" w:hAnsi="宋体" w:eastAsia="仿宋_GB2312" w:cs="宋体"/>
          <w:kern w:val="0"/>
          <w:sz w:val="32"/>
          <w:szCs w:val="32"/>
          <w:highlight w:val="none"/>
        </w:rPr>
        <w:t xml:space="preserve">                                  </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单位：人民币</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万元</w:t>
      </w:r>
    </w:p>
    <w:tbl>
      <w:tblPr>
        <w:tblStyle w:val="6"/>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129"/>
        <w:gridCol w:w="1245"/>
        <w:gridCol w:w="1275"/>
        <w:gridCol w:w="192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83"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项目</w:t>
            </w:r>
          </w:p>
        </w:tc>
        <w:tc>
          <w:tcPr>
            <w:tcW w:w="1129"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期初数</w:t>
            </w:r>
          </w:p>
        </w:tc>
        <w:tc>
          <w:tcPr>
            <w:tcW w:w="1245"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本期计提</w:t>
            </w:r>
          </w:p>
        </w:tc>
        <w:tc>
          <w:tcPr>
            <w:tcW w:w="1275"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本期核销</w:t>
            </w:r>
          </w:p>
        </w:tc>
        <w:tc>
          <w:tcPr>
            <w:tcW w:w="1920"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其他转入及冲销</w:t>
            </w:r>
          </w:p>
        </w:tc>
        <w:tc>
          <w:tcPr>
            <w:tcW w:w="1181"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83"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PUA" w:eastAsia="仿宋_GB2312" w:cs="宋体-PUA"/>
                <w:kern w:val="0"/>
                <w:sz w:val="24"/>
                <w:highlight w:val="none"/>
              </w:rPr>
              <w:t>贷款损失准备</w:t>
            </w:r>
          </w:p>
        </w:tc>
        <w:tc>
          <w:tcPr>
            <w:tcW w:w="1129"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73752.85</w:t>
            </w:r>
          </w:p>
        </w:tc>
        <w:tc>
          <w:tcPr>
            <w:tcW w:w="1245" w:type="dxa"/>
            <w:vAlign w:val="center"/>
          </w:tcPr>
          <w:p>
            <w:pPr>
              <w:widowControl/>
              <w:spacing w:line="440" w:lineRule="exact"/>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37566.5</w:t>
            </w:r>
          </w:p>
        </w:tc>
        <w:tc>
          <w:tcPr>
            <w:tcW w:w="1275"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30412.04</w:t>
            </w:r>
          </w:p>
        </w:tc>
        <w:tc>
          <w:tcPr>
            <w:tcW w:w="1920"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PUA" w:eastAsia="仿宋_GB2312" w:cs="宋体-PUA"/>
                <w:kern w:val="0"/>
                <w:sz w:val="24"/>
                <w:highlight w:val="none"/>
              </w:rPr>
              <w:t>5100.48</w:t>
            </w:r>
          </w:p>
        </w:tc>
        <w:tc>
          <w:tcPr>
            <w:tcW w:w="1181"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86007.79</w:t>
            </w:r>
          </w:p>
        </w:tc>
      </w:tr>
    </w:tbl>
    <w:p>
      <w:pPr>
        <w:widowControl/>
        <w:shd w:val="clear" w:color="auto" w:fill="FFFFFF"/>
        <w:tabs>
          <w:tab w:val="left" w:pos="630"/>
        </w:tabs>
        <w:spacing w:line="44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6.7</w:t>
      </w:r>
      <w:r>
        <w:rPr>
          <w:rFonts w:hint="eastAsia" w:ascii="仿宋_GB2312" w:hAnsi="宋体" w:eastAsia="仿宋_GB2312" w:cs="宋体"/>
          <w:b/>
          <w:color w:val="auto"/>
          <w:kern w:val="0"/>
          <w:sz w:val="32"/>
          <w:szCs w:val="32"/>
          <w:highlight w:val="none"/>
        </w:rPr>
        <w:t>年末对外投资情况</w:t>
      </w:r>
    </w:p>
    <w:p>
      <w:pPr>
        <w:widowControl/>
        <w:shd w:val="clear" w:color="auto" w:fill="FFFFFF"/>
        <w:spacing w:line="440" w:lineRule="exact"/>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p>
      <w:pPr>
        <w:widowControl/>
        <w:shd w:val="clear" w:color="auto" w:fill="FFFFFF"/>
        <w:spacing w:line="44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一、持有至到期投资</w:t>
      </w:r>
    </w:p>
    <w:tbl>
      <w:tblPr>
        <w:tblStyle w:val="6"/>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280" w:type="dxa"/>
            <w:tcBorders>
              <w:top w:val="single" w:color="auto" w:sz="4" w:space="0"/>
              <w:left w:val="nil"/>
              <w:bottom w:val="single" w:color="auto" w:sz="4" w:space="0"/>
              <w:right w:val="single" w:color="auto" w:sz="4" w:space="0"/>
            </w:tcBorders>
          </w:tcPr>
          <w:p>
            <w:pPr>
              <w:widowControl/>
              <w:spacing w:line="440" w:lineRule="exact"/>
              <w:jc w:val="center"/>
              <w:rPr>
                <w:color w:val="auto"/>
                <w:sz w:val="28"/>
                <w:szCs w:val="28"/>
                <w:highlight w:val="none"/>
              </w:rPr>
            </w:pPr>
            <w:r>
              <w:rPr>
                <w:rFonts w:hint="eastAsia" w:ascii="黑体" w:hAnsi="黑体" w:eastAsia="黑体" w:cs="黑体"/>
                <w:b/>
                <w:bCs/>
                <w:color w:val="auto"/>
                <w:kern w:val="0"/>
                <w:sz w:val="28"/>
                <w:szCs w:val="28"/>
                <w:highlight w:val="none"/>
              </w:rPr>
              <w:t>剩余面值</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持有至到期国债</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105000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持有至到期地方政府债</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42000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持有至到期政策性银行债券投资</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111000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持有至到期商业银行债券</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13000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持有至到期其他企业债券投资</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5000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持有至到期同业存单</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459000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持有至到期投资合计</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735000</w:t>
            </w:r>
          </w:p>
        </w:tc>
      </w:tr>
    </w:tbl>
    <w:p>
      <w:pPr>
        <w:widowControl/>
        <w:shd w:val="clear" w:color="auto" w:fill="FFFFFF"/>
        <w:spacing w:line="440" w:lineRule="exact"/>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二、可供出售金融资产</w:t>
      </w:r>
    </w:p>
    <w:tbl>
      <w:tblPr>
        <w:tblStyle w:val="6"/>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可供出售国债</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8000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可供出售政策性银行债券</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可供出售其他企业债</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可供出售商业银行债券</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可供出售其他银行同业存单</w:t>
            </w:r>
          </w:p>
        </w:tc>
        <w:tc>
          <w:tcPr>
            <w:tcW w:w="4280" w:type="dxa"/>
            <w:tcBorders>
              <w:top w:val="nil"/>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可供出售金融资产合计</w:t>
            </w:r>
          </w:p>
        </w:tc>
        <w:tc>
          <w:tcPr>
            <w:tcW w:w="4280" w:type="dxa"/>
            <w:tcBorders>
              <w:top w:val="single" w:color="auto" w:sz="4" w:space="0"/>
              <w:left w:val="nil"/>
              <w:bottom w:val="single" w:color="auto" w:sz="4" w:space="0"/>
              <w:right w:val="single" w:color="auto" w:sz="4" w:space="0"/>
            </w:tcBorders>
          </w:tcPr>
          <w:p>
            <w:pPr>
              <w:spacing w:line="440" w:lineRule="exact"/>
              <w:jc w:val="center"/>
              <w:rPr>
                <w:color w:val="auto"/>
                <w:sz w:val="28"/>
                <w:szCs w:val="28"/>
                <w:highlight w:val="none"/>
              </w:rPr>
            </w:pPr>
            <w:r>
              <w:rPr>
                <w:rFonts w:hint="eastAsia"/>
                <w:color w:val="auto"/>
                <w:sz w:val="28"/>
                <w:szCs w:val="28"/>
                <w:highlight w:val="none"/>
              </w:rPr>
              <w:t>10000</w:t>
            </w:r>
          </w:p>
        </w:tc>
      </w:tr>
    </w:tbl>
    <w:p>
      <w:pPr>
        <w:widowControl/>
        <w:shd w:val="clear" w:color="auto" w:fill="FFFFFF"/>
        <w:tabs>
          <w:tab w:val="left" w:pos="630"/>
        </w:tabs>
        <w:spacing w:line="560" w:lineRule="exact"/>
        <w:jc w:val="left"/>
        <w:rPr>
          <w:rFonts w:ascii="仿宋_GB2312" w:hAnsi="宋体" w:eastAsia="仿宋_GB2312" w:cs="宋体"/>
          <w:b/>
          <w:kern w:val="0"/>
          <w:sz w:val="32"/>
          <w:szCs w:val="32"/>
          <w:highlight w:val="yellow"/>
        </w:rPr>
      </w:pP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6.8</w:t>
      </w:r>
      <w:r>
        <w:rPr>
          <w:rFonts w:hint="eastAsia" w:ascii="仿宋_GB2312" w:hAnsi="宋体" w:eastAsia="仿宋_GB2312" w:cs="宋体"/>
          <w:b/>
          <w:color w:val="auto"/>
          <w:kern w:val="0"/>
          <w:sz w:val="32"/>
          <w:szCs w:val="32"/>
          <w:highlight w:val="none"/>
        </w:rPr>
        <w:t>不良贷款控制效果</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在经济下行、宏观调控和民间借贷风险向银行转移的态势下，本行紧盯两率、严控新增不良，加大了不良贷款的追责。相关职能部门按月进行检查分析，对出现违规不良贷款的责任人实行“零容忍”。202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年末不良贷款余额为</w:t>
      </w:r>
      <w:r>
        <w:rPr>
          <w:rFonts w:hint="eastAsia" w:ascii="仿宋_GB2312" w:hAnsi="仿宋_GB2312" w:eastAsia="仿宋_GB2312" w:cs="仿宋_GB2312"/>
          <w:color w:val="auto"/>
          <w:kern w:val="0"/>
          <w:sz w:val="32"/>
          <w:szCs w:val="32"/>
          <w:highlight w:val="none"/>
          <w:lang w:val="en-US" w:eastAsia="zh-CN"/>
        </w:rPr>
        <w:t>18366.58</w:t>
      </w:r>
      <w:r>
        <w:rPr>
          <w:rFonts w:hint="eastAsia"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上升764.52</w:t>
      </w:r>
      <w:r>
        <w:rPr>
          <w:rFonts w:hint="eastAsia" w:ascii="仿宋_GB2312" w:hAnsi="仿宋_GB2312" w:eastAsia="仿宋_GB2312" w:cs="仿宋_GB2312"/>
          <w:color w:val="auto"/>
          <w:kern w:val="0"/>
          <w:sz w:val="32"/>
          <w:szCs w:val="32"/>
          <w:highlight w:val="none"/>
        </w:rPr>
        <w:t>万元。202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年，加大了不良贷款清收、核销力度，共清收表内不良贷款</w:t>
      </w:r>
      <w:r>
        <w:rPr>
          <w:rFonts w:hint="eastAsia" w:ascii="仿宋_GB2312" w:hAnsi="仿宋_GB2312" w:eastAsia="仿宋_GB2312" w:cs="仿宋_GB2312"/>
          <w:color w:val="auto"/>
          <w:kern w:val="0"/>
          <w:sz w:val="32"/>
          <w:szCs w:val="32"/>
          <w:highlight w:val="none"/>
          <w:lang w:val="en-US" w:eastAsia="zh-CN"/>
        </w:rPr>
        <w:t>8870.81</w:t>
      </w:r>
      <w:r>
        <w:rPr>
          <w:rFonts w:hint="eastAsia" w:ascii="仿宋_GB2312" w:hAnsi="仿宋_GB2312" w:eastAsia="仿宋_GB2312" w:cs="仿宋_GB2312"/>
          <w:color w:val="auto"/>
          <w:kern w:val="0"/>
          <w:sz w:val="32"/>
          <w:szCs w:val="32"/>
          <w:highlight w:val="none"/>
        </w:rPr>
        <w:t>万元，核销置换不良贷款</w:t>
      </w:r>
      <w:r>
        <w:rPr>
          <w:rFonts w:hint="eastAsia" w:ascii="仿宋_GB2312" w:hAnsi="仿宋_GB2312" w:eastAsia="仿宋_GB2312" w:cs="仿宋_GB2312"/>
          <w:color w:val="auto"/>
          <w:kern w:val="0"/>
          <w:sz w:val="32"/>
          <w:szCs w:val="32"/>
          <w:highlight w:val="none"/>
          <w:lang w:val="en-US" w:eastAsia="zh-CN"/>
        </w:rPr>
        <w:t>30313.63</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6.9</w:t>
      </w:r>
      <w:r>
        <w:rPr>
          <w:rFonts w:hint="eastAsia" w:ascii="仿宋_GB2312" w:hAnsi="宋体" w:eastAsia="仿宋_GB2312" w:cs="宋体"/>
          <w:b/>
          <w:color w:val="auto"/>
          <w:kern w:val="0"/>
          <w:sz w:val="32"/>
          <w:szCs w:val="32"/>
          <w:highlight w:val="none"/>
        </w:rPr>
        <w:t>主要表外项目情况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kern w:val="0"/>
          <w:sz w:val="32"/>
          <w:szCs w:val="32"/>
          <w:highlight w:val="none"/>
        </w:rPr>
      </w:pPr>
      <w:r>
        <w:rPr>
          <w:rFonts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年末，本行银行承兑汇票余额为</w:t>
      </w:r>
      <w:r>
        <w:rPr>
          <w:rFonts w:hint="eastAsia" w:ascii="仿宋_GB2312" w:hAnsi="仿宋_GB2312" w:eastAsia="仿宋_GB2312" w:cs="仿宋_GB2312"/>
          <w:color w:val="auto"/>
          <w:kern w:val="0"/>
          <w:sz w:val="32"/>
          <w:szCs w:val="32"/>
          <w:highlight w:val="none"/>
          <w:lang w:val="en-US" w:eastAsia="zh-CN"/>
        </w:rPr>
        <w:t>12568.44</w:t>
      </w:r>
      <w:r>
        <w:rPr>
          <w:rFonts w:hint="eastAsia"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下降886.38</w:t>
      </w:r>
      <w:r>
        <w:rPr>
          <w:rFonts w:hint="eastAsia" w:ascii="仿宋_GB2312" w:hAnsi="仿宋_GB2312" w:eastAsia="仿宋_GB2312" w:cs="仿宋_GB2312"/>
          <w:color w:val="auto"/>
          <w:kern w:val="0"/>
          <w:sz w:val="32"/>
          <w:szCs w:val="32"/>
          <w:highlight w:val="none"/>
        </w:rPr>
        <w:t>万元</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增幅</w:t>
      </w:r>
      <w:r>
        <w:rPr>
          <w:rFonts w:hint="eastAsia" w:ascii="仿宋_GB2312" w:hAnsi="仿宋_GB2312" w:eastAsia="仿宋_GB2312" w:cs="仿宋_GB2312"/>
          <w:color w:val="auto"/>
          <w:kern w:val="0"/>
          <w:sz w:val="32"/>
          <w:szCs w:val="32"/>
          <w:highlight w:val="none"/>
          <w:lang w:val="en-US" w:eastAsia="zh-CN"/>
        </w:rPr>
        <w:t>6.59</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w:t>
      </w:r>
    </w:p>
    <w:p>
      <w:pPr>
        <w:widowControl/>
        <w:shd w:val="clear" w:color="auto" w:fill="FFFFFF"/>
        <w:tabs>
          <w:tab w:val="left" w:pos="630"/>
        </w:tabs>
        <w:spacing w:line="480" w:lineRule="exact"/>
        <w:ind w:firstLine="640" w:firstLineChars="200"/>
        <w:jc w:val="left"/>
        <w:rPr>
          <w:rFonts w:ascii="宋体" w:cs="宋体"/>
          <w:kern w:val="0"/>
          <w:sz w:val="32"/>
          <w:szCs w:val="32"/>
        </w:rPr>
      </w:pPr>
      <w:r>
        <w:rPr>
          <w:rFonts w:hint="eastAsia" w:ascii="黑体" w:hAnsi="宋体" w:eastAsia="黑体" w:cs="宋体"/>
          <w:kern w:val="0"/>
          <w:sz w:val="32"/>
          <w:szCs w:val="32"/>
        </w:rPr>
        <w:t>七、本行面临的各类风险及风险管理情况</w:t>
      </w:r>
    </w:p>
    <w:p>
      <w:pPr>
        <w:widowControl/>
        <w:shd w:val="clear" w:color="auto" w:fill="FFFFFF"/>
        <w:tabs>
          <w:tab w:val="left" w:pos="630"/>
        </w:tabs>
        <w:spacing w:line="48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本行继续强化内控管理，完善内控制度，有效防范风险，各项业务发展呈现良好态势，资产质量进一步上升。在各项指标越趋良好的情况下，本行还积极采取各种措施，增收节支，加强成本管理，抗风险能力进一步增强。</w:t>
      </w:r>
    </w:p>
    <w:p>
      <w:pPr>
        <w:spacing w:line="48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7.1</w:t>
      </w:r>
      <w:r>
        <w:rPr>
          <w:rFonts w:hint="eastAsia" w:ascii="仿宋_GB2312" w:hAnsi="仿宋_GB2312" w:eastAsia="仿宋_GB2312" w:cs="仿宋_GB2312"/>
          <w:b/>
          <w:sz w:val="32"/>
          <w:szCs w:val="32"/>
        </w:rPr>
        <w:t>董事会、高级管理层对风险的监控能力</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公司法》、《中华人民共和国商业银行法》规定，制定了本行董事会议事规则，董事会设立了风险管理委员会、关联交易控制委员会、审计委员会等专业管理监督机构，并制定了各专门委员会议事规则和工作职责；本行高级管理层由一支专业知识扎实、从业经验丰富的高管人员组成，</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名高管人员中，3名具备助理经济师职称，1名具备助理会计师职称，2名具备经济师职称，</w:t>
      </w:r>
      <w:r>
        <w:rPr>
          <w:rFonts w:hint="eastAsia" w:ascii="仿宋_GB2312" w:hAnsi="仿宋_GB2312" w:eastAsia="仿宋_GB2312" w:cs="仿宋_GB2312"/>
          <w:sz w:val="32"/>
          <w:szCs w:val="32"/>
          <w:highlight w:val="none"/>
          <w:lang w:val="en-US" w:eastAsia="zh-CN"/>
        </w:rPr>
        <w:t>1名具备审计师职称，</w:t>
      </w:r>
      <w:r>
        <w:rPr>
          <w:rFonts w:hint="eastAsia" w:ascii="仿宋_GB2312" w:hAnsi="仿宋_GB2312" w:eastAsia="仿宋_GB2312" w:cs="仿宋_GB2312"/>
          <w:sz w:val="32"/>
          <w:szCs w:val="32"/>
          <w:highlight w:val="none"/>
        </w:rPr>
        <w:t>5名达到了20年以上从业经历。</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7.2</w:t>
      </w:r>
      <w:r>
        <w:rPr>
          <w:rFonts w:hint="eastAsia" w:ascii="仿宋_GB2312" w:eastAsia="仿宋_GB2312"/>
          <w:b/>
          <w:color w:val="auto"/>
          <w:sz w:val="32"/>
          <w:szCs w:val="32"/>
          <w:highlight w:val="none"/>
        </w:rPr>
        <w:t>风险管理的政策和程序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本行</w:t>
      </w:r>
      <w:r>
        <w:rPr>
          <w:rFonts w:hint="eastAsia" w:ascii="仿宋_GB2312" w:hAnsi="Arial" w:eastAsia="仿宋_GB2312" w:cs="Arial"/>
          <w:color w:val="auto"/>
          <w:sz w:val="32"/>
          <w:szCs w:val="32"/>
          <w:highlight w:val="none"/>
          <w:lang w:eastAsia="zh-CN"/>
        </w:rPr>
        <w:t>针对经济金融形势和监管政策方面出现的新变化，不断改善风险管理水平，提高风险管理能力，对可能造成重大影响的风险因素力求做到事前预警、事中监控、及时化解。本行将风险管控作为经营管理的要点任务和永久主题，一直绷紧风险防备这根弦，全面落实风险责任。增强风险监测预警，果断守住不发生系统性和地区性金融风险的底线。</w:t>
      </w:r>
      <w:r>
        <w:rPr>
          <w:rFonts w:hint="eastAsia" w:ascii="仿宋_GB2312" w:hAnsi="Arial" w:eastAsia="仿宋_GB2312" w:cs="Arial"/>
          <w:color w:val="auto"/>
          <w:spacing w:val="-2"/>
          <w:kern w:val="0"/>
          <w:sz w:val="32"/>
          <w:szCs w:val="32"/>
          <w:highlight w:val="none"/>
        </w:rPr>
        <w:t>建立风险、合规、管理三道防线，总行各职能部门和各营业网点为第一道防线，董事会风险管理委员会和风险合规部为第二道防线，董事会审计委员会和审计部为第三道防线。</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7.3</w:t>
      </w:r>
      <w:r>
        <w:rPr>
          <w:rFonts w:hint="eastAsia" w:ascii="仿宋_GB2312" w:eastAsia="仿宋_GB2312"/>
          <w:b/>
          <w:color w:val="auto"/>
          <w:sz w:val="32"/>
          <w:szCs w:val="32"/>
          <w:highlight w:val="none"/>
        </w:rPr>
        <w:t>风险计量、检测和管理信息系统</w:t>
      </w:r>
    </w:p>
    <w:p>
      <w:pPr>
        <w:spacing w:line="480" w:lineRule="exact"/>
        <w:ind w:firstLine="640" w:firstLineChars="200"/>
        <w:rPr>
          <w:rFonts w:ascii="仿宋_GB2312" w:eastAsia="仿宋_GB2312"/>
          <w:sz w:val="32"/>
          <w:szCs w:val="32"/>
        </w:rPr>
      </w:pPr>
      <w:r>
        <w:rPr>
          <w:rFonts w:hint="eastAsia" w:ascii="仿宋_GB2312" w:eastAsia="仿宋_GB2312"/>
          <w:color w:val="auto"/>
          <w:sz w:val="32"/>
          <w:szCs w:val="32"/>
          <w:highlight w:val="none"/>
        </w:rPr>
        <w:t>一是成立了风险合规部，独立进行风险管理，对信用风险、市场风险、利率风险、流动性风险、操作风险、法律风险及信誉风险等各类风险进行持续、统一的监测、分析和报告；二是制定了识别、计量、监测和管理风险的制度、程序和方法，对主要资产业务</w:t>
      </w:r>
      <w:r>
        <w:rPr>
          <w:rFonts w:ascii="仿宋_GB2312" w:eastAsia="仿宋_GB2312"/>
          <w:color w:val="auto"/>
          <w:sz w:val="32"/>
          <w:szCs w:val="32"/>
          <w:highlight w:val="none"/>
        </w:rPr>
        <w:t>-</w:t>
      </w:r>
      <w:r>
        <w:rPr>
          <w:rFonts w:hint="eastAsia" w:ascii="仿宋_GB2312" w:eastAsia="仿宋_GB2312"/>
          <w:color w:val="auto"/>
          <w:sz w:val="32"/>
          <w:szCs w:val="32"/>
          <w:highlight w:val="none"/>
        </w:rPr>
        <w:t>贷款，采取了贷款五级分类管理、信用评级等管理机制；三是针对不断变化的环境和情况及时修改和完善风险控制的制度、方法和手段，定期进行压力测试，并制定应急预案，以控制新出现的风险或以前未能控制的风险。有较完善的产品定价机制，能做到成本可算、风险可控。</w:t>
      </w:r>
    </w:p>
    <w:p>
      <w:pPr>
        <w:spacing w:line="480" w:lineRule="exact"/>
        <w:ind w:firstLine="643" w:firstLineChars="200"/>
        <w:rPr>
          <w:rFonts w:ascii="仿宋_GB2312" w:eastAsia="仿宋_GB2312"/>
          <w:b/>
          <w:color w:val="FF0000"/>
          <w:sz w:val="32"/>
          <w:szCs w:val="32"/>
          <w:highlight w:val="none"/>
        </w:rPr>
      </w:pPr>
      <w:r>
        <w:rPr>
          <w:rFonts w:ascii="仿宋_GB2312" w:eastAsia="仿宋_GB2312"/>
          <w:b/>
          <w:sz w:val="32"/>
          <w:szCs w:val="32"/>
          <w:highlight w:val="none"/>
        </w:rPr>
        <w:t xml:space="preserve">7.4 </w:t>
      </w:r>
      <w:r>
        <w:rPr>
          <w:rFonts w:hint="eastAsia" w:ascii="仿宋_GB2312" w:eastAsia="仿宋_GB2312"/>
          <w:b/>
          <w:sz w:val="32"/>
          <w:szCs w:val="32"/>
          <w:highlight w:val="none"/>
        </w:rPr>
        <w:t>内部控制和全面审计情况</w:t>
      </w:r>
    </w:p>
    <w:p>
      <w:pPr>
        <w:spacing w:line="4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一是明确指定专门部门</w:t>
      </w:r>
      <w:r>
        <w:rPr>
          <w:rFonts w:ascii="仿宋_GB2312" w:hAnsi="仿宋" w:eastAsia="仿宋_GB2312"/>
          <w:sz w:val="32"/>
          <w:szCs w:val="32"/>
          <w:highlight w:val="none"/>
        </w:rPr>
        <w:t>——</w:t>
      </w:r>
      <w:r>
        <w:rPr>
          <w:rFonts w:hint="eastAsia" w:ascii="仿宋_GB2312" w:hAnsi="仿宋" w:eastAsia="仿宋_GB2312"/>
          <w:sz w:val="32"/>
          <w:szCs w:val="32"/>
          <w:highlight w:val="none"/>
        </w:rPr>
        <w:t>风险合规部为内控管理职能部门，牵头内部控制体系的统筹规划、组织落实和检查评估；</w:t>
      </w:r>
      <w:r>
        <w:rPr>
          <w:rFonts w:hint="eastAsia" w:ascii="仿宋_GB2312" w:hAnsi="仿宋" w:eastAsia="仿宋_GB2312"/>
          <w:color w:val="auto"/>
          <w:sz w:val="32"/>
          <w:szCs w:val="32"/>
          <w:highlight w:val="none"/>
        </w:rPr>
        <w:t>二是抓好了离任审计工作。对副股级以上交流干部任职期间业务经营、内部管理、制度执行、廉政建设等方面情况进行了审计；三是加强了专项审计工作。组织开展了</w:t>
      </w:r>
      <w:r>
        <w:rPr>
          <w:rFonts w:hint="eastAsia" w:ascii="仿宋_GB2312" w:hAnsi="仿宋" w:eastAsia="仿宋_GB2312"/>
          <w:color w:val="auto"/>
          <w:sz w:val="32"/>
          <w:szCs w:val="32"/>
          <w:highlight w:val="none"/>
          <w:lang w:val="en-US" w:eastAsia="zh-CN"/>
        </w:rPr>
        <w:t>信贷管理、</w:t>
      </w:r>
      <w:r>
        <w:rPr>
          <w:rFonts w:hint="eastAsia" w:ascii="仿宋_GB2312" w:hAnsi="仿宋" w:eastAsia="仿宋_GB2312"/>
          <w:color w:val="auto"/>
          <w:sz w:val="32"/>
          <w:szCs w:val="32"/>
          <w:highlight w:val="none"/>
        </w:rPr>
        <w:t>柜面业务、新增不良贷款、反洗钱、金融消保、征信管理、关联交易等专项审计；四是不定期开展了常规审计。202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年对</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个营业网点围绕柜面业务、现金及重要空白凭证管理、运营主管履职、信贷业务、安全保卫等方面进行了常规审计；</w:t>
      </w:r>
      <w:r>
        <w:rPr>
          <w:rFonts w:hint="eastAsia" w:ascii="仿宋_GB2312" w:hAnsi="仿宋" w:eastAsia="仿宋_GB2312"/>
          <w:sz w:val="32"/>
          <w:szCs w:val="32"/>
          <w:highlight w:val="none"/>
        </w:rPr>
        <w:t>五是坚持做好其他日常工作的检查，如：对各营业网点规范化服务进行监控检查。</w:t>
      </w:r>
    </w:p>
    <w:p>
      <w:pPr>
        <w:spacing w:line="480" w:lineRule="exact"/>
        <w:ind w:firstLine="643" w:firstLineChars="200"/>
        <w:rPr>
          <w:rFonts w:hint="eastAsia" w:ascii="仿宋_GB2312" w:eastAsia="仿宋_GB2312"/>
          <w:b/>
          <w:sz w:val="32"/>
          <w:szCs w:val="32"/>
          <w:highlight w:val="none"/>
        </w:rPr>
      </w:pPr>
      <w:r>
        <w:rPr>
          <w:rFonts w:ascii="仿宋_GB2312" w:eastAsia="仿宋_GB2312"/>
          <w:b/>
          <w:sz w:val="32"/>
          <w:szCs w:val="32"/>
          <w:highlight w:val="none"/>
        </w:rPr>
        <w:t>7.5</w:t>
      </w:r>
      <w:r>
        <w:rPr>
          <w:rFonts w:hint="eastAsia" w:ascii="仿宋_GB2312" w:eastAsia="仿宋_GB2312"/>
          <w:b/>
          <w:sz w:val="32"/>
          <w:szCs w:val="32"/>
          <w:highlight w:val="none"/>
        </w:rPr>
        <w:t>信用风险状况</w:t>
      </w:r>
    </w:p>
    <w:p>
      <w:pPr>
        <w:spacing w:line="48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1</w:t>
      </w:r>
      <w:r>
        <w:rPr>
          <w:rFonts w:hint="eastAsia" w:ascii="仿宋_GB2312" w:eastAsia="仿宋_GB2312"/>
          <w:b/>
          <w:bCs/>
          <w:sz w:val="32"/>
          <w:szCs w:val="32"/>
          <w:highlight w:val="none"/>
        </w:rPr>
        <w:t>）信用风险管理</w:t>
      </w:r>
    </w:p>
    <w:p>
      <w:pPr>
        <w:spacing w:line="4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信用风险管理组织架构分为信贷业务、信贷审批和风险管理三部分。一是建立了审贷分离相互制衡的风险控制体系；网点前台客户经理负责尽职调查；信贷</w:t>
      </w:r>
      <w:r>
        <w:rPr>
          <w:rFonts w:ascii="仿宋_GB2312" w:eastAsia="仿宋_GB2312"/>
          <w:sz w:val="32"/>
          <w:szCs w:val="32"/>
          <w:highlight w:val="none"/>
        </w:rPr>
        <w:t>C</w:t>
      </w:r>
      <w:r>
        <w:rPr>
          <w:rFonts w:hint="eastAsia" w:ascii="仿宋_GB2312" w:eastAsia="仿宋_GB2312"/>
          <w:sz w:val="32"/>
          <w:szCs w:val="32"/>
          <w:highlight w:val="none"/>
        </w:rPr>
        <w:t>岗负责信贷合同的签订和信贷文本的管理，将贷款风险管理关口前移至业务第一线；后台审核部门严格按照规范要求对各支行上报的各类贷款资料进行及时、认真、细致的审查、审批和上报；二是加强对分支机构资产质量考核和风险责任人制度考核。</w:t>
      </w:r>
      <w:r>
        <w:rPr>
          <w:rFonts w:hint="eastAsia" w:ascii="仿宋_GB2312" w:hAnsi="仿宋" w:eastAsia="仿宋_GB2312"/>
          <w:sz w:val="32"/>
          <w:szCs w:val="32"/>
          <w:highlight w:val="none"/>
        </w:rPr>
        <w:t>对各网点贷款到期收回率进行监测与考核；对每一笔新增不良贷款，进行定责，对出现违规不良贷款责任人实行“零容忍”</w:t>
      </w:r>
      <w:r>
        <w:rPr>
          <w:rFonts w:hint="eastAsia" w:ascii="仿宋_GB2312" w:eastAsia="仿宋_GB2312"/>
          <w:sz w:val="32"/>
          <w:szCs w:val="32"/>
          <w:highlight w:val="none"/>
        </w:rPr>
        <w:t>；三是在加强对不良资产的重点监控与管理等方面明确了相关措施，</w:t>
      </w:r>
      <w:r>
        <w:rPr>
          <w:rFonts w:hint="eastAsia" w:ascii="仿宋_GB2312" w:hAnsi="仿宋" w:eastAsia="仿宋_GB2312"/>
          <w:sz w:val="32"/>
          <w:szCs w:val="32"/>
          <w:highlight w:val="none"/>
        </w:rPr>
        <w:t>设立清收事业部专职</w:t>
      </w:r>
      <w:r>
        <w:rPr>
          <w:rFonts w:hint="eastAsia" w:ascii="仿宋_GB2312" w:eastAsia="仿宋_GB2312"/>
          <w:sz w:val="32"/>
          <w:szCs w:val="32"/>
          <w:highlight w:val="none"/>
        </w:rPr>
        <w:t>对不良资产进行及时处置和重点监控、管理。</w:t>
      </w:r>
    </w:p>
    <w:p>
      <w:pPr>
        <w:spacing w:line="48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2</w:t>
      </w:r>
      <w:r>
        <w:rPr>
          <w:rFonts w:hint="eastAsia" w:ascii="仿宋_GB2312" w:eastAsia="仿宋_GB2312"/>
          <w:b/>
          <w:bCs/>
          <w:sz w:val="32"/>
          <w:szCs w:val="32"/>
          <w:highlight w:val="none"/>
        </w:rPr>
        <w:t>）资产风险分类的程序和方法</w:t>
      </w:r>
    </w:p>
    <w:p>
      <w:pPr>
        <w:spacing w:line="480" w:lineRule="exact"/>
        <w:ind w:firstLine="640" w:firstLineChars="200"/>
        <w:rPr>
          <w:rFonts w:ascii="仿宋_GB2312" w:eastAsia="仿宋_GB2312"/>
          <w:sz w:val="32"/>
          <w:szCs w:val="32"/>
          <w:highlight w:val="yellow"/>
        </w:rPr>
      </w:pPr>
      <w:r>
        <w:rPr>
          <w:rFonts w:hint="eastAsia" w:ascii="仿宋_GB2312" w:eastAsia="仿宋_GB2312"/>
          <w:sz w:val="32"/>
          <w:szCs w:val="32"/>
          <w:highlight w:val="none"/>
        </w:rPr>
        <w:t>本行按照审慎经营、风险防范为本的管理理念，对信贷资产进行五级分类，根据安全履行合同，及时足额偿还的可能性将信贷资产分为正常、关注、次级、可疑和损失五个类别，后四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实时初分，分级认定，超限报批，按季度汇总分析。</w:t>
      </w:r>
    </w:p>
    <w:p>
      <w:pPr>
        <w:spacing w:line="48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3</w:t>
      </w:r>
      <w:r>
        <w:rPr>
          <w:rFonts w:hint="eastAsia" w:ascii="仿宋_GB2312" w:eastAsia="仿宋_GB2312"/>
          <w:b/>
          <w:bCs/>
          <w:sz w:val="32"/>
          <w:szCs w:val="32"/>
          <w:highlight w:val="none"/>
        </w:rPr>
        <w:t>）信贷资产分布情况</w:t>
      </w:r>
    </w:p>
    <w:p>
      <w:pPr>
        <w:spacing w:line="4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行以“立足本土，服务社区、支农支小”为市场定位，重点满足“三农”及中小企业的信贷需求，大力拓宽服务领域，不断创新服务手段，大力促进城乡经济协调发展，贷款分布主要集中在农、林、牧、渔业，批发和零售业，以及制造业、个人消费贷款等方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（4）普惠小微企业服务情况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直以来，本行始终坚持以客户为中心服务理念，积极研究中央及上级普惠金融文件精神贯彻落实小微企业金融服务深化工作，从加快金融产品创新、丰富金融产品体系、改进金融服务手段、提升金融服务效率等方面入手，做大做强普惠金融服务供应商地位，有效推动了地方经济的发展。报告期内，我行共有营业网点37个，全行信贷业务人员</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人。有小微特色支行1个，专职从事小微信贷业务人员8人；</w:t>
      </w:r>
      <w:r>
        <w:rPr>
          <w:rFonts w:hint="eastAsia" w:ascii="仿宋_GB2312" w:hAnsi="仿宋_GB2312" w:eastAsia="仿宋_GB2312" w:cs="仿宋_GB2312"/>
          <w:color w:val="auto"/>
          <w:sz w:val="32"/>
          <w:szCs w:val="32"/>
          <w:highlight w:val="none"/>
        </w:rPr>
        <w:t>各项贷款余额137.83亿元，较年初增加15.42亿元，增幅12.59%。累计发放小微贷款94.26亿元，小微企业贷款余额较年初增加11.43亿元，增幅13.18%。其中2022年末我行1000万以下普惠型小微企业贷款余额67.89亿元，较年初增加3.35亿，增速5.2%，高于各项贷款（不含票据）增速5.82个百分点，普惠型小微贷款户数14546户，较年初增加2102户。当年新发放普惠型小微贷款平均利率6.8%，较年初下降0.02个百分点，切实降低了小微企业贷款融资成本。普惠型小微企业贷款不良率1.74%，高于各项贷款不良率0.31个百分点。全面实现了普惠小微企业贷款“两增两控”的目标。</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7.6</w:t>
      </w:r>
      <w:r>
        <w:rPr>
          <w:rFonts w:hint="eastAsia" w:ascii="仿宋_GB2312" w:eastAsia="仿宋_GB2312"/>
          <w:b/>
          <w:color w:val="auto"/>
          <w:sz w:val="32"/>
          <w:szCs w:val="32"/>
          <w:highlight w:val="none"/>
        </w:rPr>
        <w:t>流动性风险状况</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流动性比例符合监管要求。202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年末，流动性比例为</w:t>
      </w:r>
      <w:r>
        <w:rPr>
          <w:rFonts w:hint="eastAsia" w:ascii="仿宋_GB2312" w:hAnsi="仿宋" w:eastAsia="仿宋_GB2312"/>
          <w:color w:val="auto"/>
          <w:sz w:val="32"/>
          <w:szCs w:val="32"/>
          <w:highlight w:val="none"/>
          <w:lang w:val="en-US" w:eastAsia="zh-CN"/>
        </w:rPr>
        <w:t>54.23</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较年初上升</w:t>
      </w:r>
      <w:r>
        <w:rPr>
          <w:rFonts w:hint="eastAsia" w:ascii="仿宋_GB2312" w:hAnsi="仿宋" w:eastAsia="仿宋_GB2312"/>
          <w:color w:val="auto"/>
          <w:sz w:val="32"/>
          <w:szCs w:val="32"/>
          <w:highlight w:val="none"/>
          <w:lang w:val="en-US" w:eastAsia="zh-CN"/>
        </w:rPr>
        <w:t>6.07%，</w:t>
      </w:r>
      <w:r>
        <w:rPr>
          <w:rFonts w:hint="eastAsia" w:ascii="仿宋_GB2312" w:hAnsi="仿宋" w:eastAsia="仿宋_GB2312"/>
          <w:color w:val="auto"/>
          <w:sz w:val="32"/>
          <w:szCs w:val="32"/>
          <w:highlight w:val="none"/>
          <w:lang w:eastAsia="zh-CN"/>
        </w:rPr>
        <w:t>高于</w:t>
      </w:r>
      <w:r>
        <w:rPr>
          <w:rFonts w:hint="eastAsia" w:ascii="仿宋_GB2312" w:hAnsi="仿宋" w:eastAsia="仿宋_GB2312"/>
          <w:color w:val="auto"/>
          <w:sz w:val="32"/>
          <w:szCs w:val="32"/>
          <w:highlight w:val="none"/>
          <w:lang w:val="en-US" w:eastAsia="zh-CN"/>
        </w:rPr>
        <w:t>25%的</w:t>
      </w:r>
      <w:r>
        <w:rPr>
          <w:rFonts w:hint="eastAsia" w:ascii="仿宋_GB2312" w:hAnsi="仿宋" w:eastAsia="仿宋_GB2312"/>
          <w:color w:val="auto"/>
          <w:sz w:val="32"/>
          <w:szCs w:val="32"/>
          <w:highlight w:val="none"/>
          <w:lang w:eastAsia="zh-CN"/>
        </w:rPr>
        <w:t>监管标准</w:t>
      </w:r>
      <w:r>
        <w:rPr>
          <w:rFonts w:hint="eastAsia" w:ascii="仿宋_GB2312" w:hAnsi="仿宋" w:eastAsia="仿宋_GB2312"/>
          <w:color w:val="auto"/>
          <w:sz w:val="32"/>
          <w:szCs w:val="32"/>
          <w:highlight w:val="none"/>
        </w:rPr>
        <w:t>。本行将继续推动票据承兑</w:t>
      </w:r>
      <w:r>
        <w:rPr>
          <w:rFonts w:hint="eastAsia" w:ascii="仿宋_GB2312" w:hAnsi="仿宋" w:eastAsia="仿宋_GB2312"/>
          <w:color w:val="auto"/>
          <w:sz w:val="32"/>
          <w:szCs w:val="32"/>
          <w:highlight w:val="none"/>
          <w:lang w:eastAsia="zh-CN"/>
        </w:rPr>
        <w:t>、信用拆借</w:t>
      </w:r>
      <w:r>
        <w:rPr>
          <w:rFonts w:hint="eastAsia" w:ascii="仿宋_GB2312" w:hAnsi="仿宋" w:eastAsia="仿宋_GB2312"/>
          <w:color w:val="auto"/>
          <w:sz w:val="32"/>
          <w:szCs w:val="32"/>
          <w:highlight w:val="none"/>
        </w:rPr>
        <w:t>和贴现业务，改变信贷的单一投向，扩大服务群体，加快资金流转速度；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2</w:t>
      </w:r>
      <w:r>
        <w:rPr>
          <w:rFonts w:hint="eastAsia" w:ascii="仿宋_GB2312" w:hAnsi="仿宋" w:eastAsia="仿宋_GB2312"/>
          <w:color w:val="auto"/>
          <w:sz w:val="32"/>
          <w:szCs w:val="32"/>
          <w:highlight w:val="none"/>
        </w:rPr>
        <w:t>）核心负债依存度为66.</w:t>
      </w:r>
      <w:r>
        <w:rPr>
          <w:rFonts w:hint="eastAsia" w:ascii="仿宋_GB2312" w:hAnsi="仿宋" w:eastAsia="仿宋_GB2312"/>
          <w:color w:val="auto"/>
          <w:sz w:val="32"/>
          <w:szCs w:val="32"/>
          <w:highlight w:val="none"/>
          <w:lang w:val="en-US" w:eastAsia="zh-CN"/>
        </w:rPr>
        <w:t>62</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，较年初</w:t>
      </w:r>
      <w:r>
        <w:rPr>
          <w:rFonts w:hint="eastAsia" w:ascii="仿宋_GB2312" w:hAnsi="仿宋" w:eastAsia="仿宋_GB2312"/>
          <w:color w:val="auto"/>
          <w:sz w:val="32"/>
          <w:szCs w:val="32"/>
          <w:highlight w:val="none"/>
          <w:lang w:eastAsia="zh-CN"/>
        </w:rPr>
        <w:t>上升</w:t>
      </w:r>
      <w:r>
        <w:rPr>
          <w:rFonts w:hint="eastAsia" w:ascii="仿宋_GB2312" w:hAnsi="仿宋" w:eastAsia="仿宋_GB2312"/>
          <w:color w:val="auto"/>
          <w:sz w:val="32"/>
          <w:szCs w:val="32"/>
          <w:highlight w:val="none"/>
          <w:lang w:val="en-US" w:eastAsia="zh-CN"/>
        </w:rPr>
        <w:t>0.05</w:t>
      </w:r>
      <w:r>
        <w:rPr>
          <w:rFonts w:hint="eastAsia" w:ascii="仿宋_GB2312" w:hAnsi="仿宋" w:eastAsia="仿宋_GB2312"/>
          <w:color w:val="auto"/>
          <w:sz w:val="32"/>
          <w:szCs w:val="32"/>
          <w:highlight w:val="none"/>
        </w:rPr>
        <w:t>个百分点；流动性缺口率为</w:t>
      </w:r>
      <w:r>
        <w:rPr>
          <w:rFonts w:hint="eastAsia" w:ascii="仿宋_GB2312" w:hAnsi="仿宋" w:eastAsia="仿宋_GB2312"/>
          <w:color w:val="auto"/>
          <w:sz w:val="32"/>
          <w:szCs w:val="32"/>
          <w:highlight w:val="none"/>
          <w:lang w:val="en-US" w:eastAsia="zh-CN"/>
        </w:rPr>
        <w:t>31.28</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，较年初</w:t>
      </w:r>
      <w:r>
        <w:rPr>
          <w:rFonts w:hint="eastAsia" w:ascii="仿宋_GB2312" w:hAnsi="仿宋" w:eastAsia="仿宋_GB2312"/>
          <w:color w:val="auto"/>
          <w:sz w:val="32"/>
          <w:szCs w:val="32"/>
          <w:highlight w:val="none"/>
          <w:lang w:eastAsia="zh-CN"/>
        </w:rPr>
        <w:t>下降</w:t>
      </w:r>
      <w:r>
        <w:rPr>
          <w:rFonts w:hint="eastAsia" w:ascii="仿宋_GB2312" w:hAnsi="仿宋" w:eastAsia="仿宋_GB2312"/>
          <w:color w:val="auto"/>
          <w:sz w:val="32"/>
          <w:szCs w:val="32"/>
          <w:highlight w:val="none"/>
          <w:lang w:val="en-US" w:eastAsia="zh-CN"/>
        </w:rPr>
        <w:t>3.92</w:t>
      </w:r>
      <w:r>
        <w:rPr>
          <w:rFonts w:hint="eastAsia" w:ascii="仿宋_GB2312" w:hAnsi="仿宋" w:eastAsia="仿宋_GB2312"/>
          <w:color w:val="auto"/>
          <w:sz w:val="32"/>
          <w:szCs w:val="32"/>
          <w:highlight w:val="none"/>
        </w:rPr>
        <w:t>个百分点；人民币超额备付率</w:t>
      </w:r>
      <w:r>
        <w:rPr>
          <w:rFonts w:hint="eastAsia" w:ascii="仿宋_GB2312" w:hAnsi="仿宋" w:eastAsia="仿宋_GB2312"/>
          <w:color w:val="auto"/>
          <w:sz w:val="32"/>
          <w:szCs w:val="32"/>
          <w:highlight w:val="none"/>
          <w:lang w:val="en-US" w:eastAsia="zh-CN"/>
        </w:rPr>
        <w:t>6.23</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，较年初</w:t>
      </w:r>
      <w:r>
        <w:rPr>
          <w:rFonts w:hint="eastAsia" w:ascii="仿宋_GB2312" w:hAnsi="仿宋" w:eastAsia="仿宋_GB2312"/>
          <w:color w:val="auto"/>
          <w:sz w:val="32"/>
          <w:szCs w:val="32"/>
          <w:highlight w:val="none"/>
          <w:lang w:eastAsia="zh-CN"/>
        </w:rPr>
        <w:t>上升</w:t>
      </w:r>
      <w:r>
        <w:rPr>
          <w:rFonts w:hint="eastAsia" w:ascii="仿宋_GB2312" w:hAnsi="仿宋" w:eastAsia="仿宋_GB2312"/>
          <w:color w:val="auto"/>
          <w:sz w:val="32"/>
          <w:szCs w:val="32"/>
          <w:highlight w:val="none"/>
          <w:lang w:val="en-US" w:eastAsia="zh-CN"/>
        </w:rPr>
        <w:t>0.07</w:t>
      </w:r>
      <w:r>
        <w:rPr>
          <w:rFonts w:hint="eastAsia" w:ascii="仿宋_GB2312" w:hAnsi="仿宋" w:eastAsia="仿宋_GB2312"/>
          <w:color w:val="auto"/>
          <w:sz w:val="32"/>
          <w:szCs w:val="32"/>
          <w:highlight w:val="none"/>
        </w:rPr>
        <w:t>个百分点，均符合监管要求；</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3</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年末存贷比例为</w:t>
      </w:r>
      <w:r>
        <w:rPr>
          <w:rFonts w:hint="eastAsia" w:ascii="仿宋_GB2312" w:hAnsi="仿宋" w:eastAsia="仿宋_GB2312"/>
          <w:color w:val="auto"/>
          <w:sz w:val="32"/>
          <w:szCs w:val="32"/>
          <w:highlight w:val="none"/>
          <w:lang w:val="en-US" w:eastAsia="zh-CN"/>
        </w:rPr>
        <w:t>63.43</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，较年初</w:t>
      </w:r>
      <w:r>
        <w:rPr>
          <w:rFonts w:hint="eastAsia" w:ascii="仿宋_GB2312" w:hAnsi="仿宋" w:eastAsia="仿宋_GB2312"/>
          <w:color w:val="auto"/>
          <w:sz w:val="32"/>
          <w:szCs w:val="32"/>
          <w:highlight w:val="none"/>
          <w:lang w:eastAsia="zh-CN"/>
        </w:rPr>
        <w:t>下降</w:t>
      </w:r>
      <w:r>
        <w:rPr>
          <w:rFonts w:hint="eastAsia" w:ascii="仿宋_GB2312" w:hAnsi="仿宋" w:eastAsia="仿宋_GB2312"/>
          <w:color w:val="auto"/>
          <w:sz w:val="32"/>
          <w:szCs w:val="32"/>
          <w:highlight w:val="none"/>
          <w:lang w:val="en-US" w:eastAsia="zh-CN"/>
        </w:rPr>
        <w:t>3.64</w:t>
      </w:r>
      <w:r>
        <w:rPr>
          <w:rFonts w:hint="eastAsia" w:ascii="仿宋_GB2312" w:hAnsi="仿宋" w:eastAsia="仿宋_GB2312" w:cs="宋体"/>
          <w:color w:val="auto"/>
          <w:kern w:val="0"/>
          <w:sz w:val="32"/>
          <w:szCs w:val="32"/>
          <w:highlight w:val="none"/>
        </w:rPr>
        <w:t>个</w:t>
      </w:r>
      <w:r>
        <w:rPr>
          <w:rFonts w:hint="eastAsia" w:ascii="仿宋_GB2312" w:hAnsi="仿宋" w:eastAsia="仿宋_GB2312"/>
          <w:color w:val="auto"/>
          <w:sz w:val="32"/>
          <w:szCs w:val="32"/>
          <w:highlight w:val="none"/>
        </w:rPr>
        <w:t>百分点。</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7.7</w:t>
      </w:r>
      <w:r>
        <w:rPr>
          <w:rFonts w:hint="eastAsia" w:ascii="仿宋_GB2312" w:eastAsia="仿宋_GB2312"/>
          <w:b/>
          <w:color w:val="auto"/>
          <w:sz w:val="32"/>
          <w:szCs w:val="32"/>
          <w:highlight w:val="none"/>
        </w:rPr>
        <w:t>市场风险状况</w:t>
      </w:r>
    </w:p>
    <w:p>
      <w:pPr>
        <w:pStyle w:val="3"/>
        <w:keepNext w:val="0"/>
        <w:keepLines w:val="0"/>
        <w:pageBreakBefore w:val="0"/>
        <w:kinsoku/>
        <w:wordWrap/>
        <w:overflowPunct/>
        <w:topLinePunct w:val="0"/>
        <w:autoSpaceDE/>
        <w:autoSpaceDN/>
        <w:bidi w:val="0"/>
        <w:adjustRightInd/>
        <w:snapToGrid/>
        <w:spacing w:after="0"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本行专注主业发展，未开办国际业务。为积极应对市场风险，我行充分依托省联社平台，着力完善利率管理组织、定价调整流程，逐步完善定价模型和定价标准，制定一系列投资业务管理办法，致力建立与市场接轨的快速反应机制；定期开展投后管理及风险排查，建立资金业务明细台账，对投资项目底层资产加强风险监测。总体上，市场风险在可控范围。</w:t>
      </w:r>
    </w:p>
    <w:p>
      <w:pPr>
        <w:spacing w:line="480" w:lineRule="exact"/>
        <w:ind w:firstLine="643" w:firstLineChars="200"/>
        <w:rPr>
          <w:rFonts w:ascii="仿宋_GB2312" w:eastAsia="仿宋_GB2312"/>
          <w:b/>
          <w:sz w:val="32"/>
          <w:szCs w:val="32"/>
          <w:highlight w:val="none"/>
        </w:rPr>
      </w:pPr>
      <w:r>
        <w:rPr>
          <w:rFonts w:ascii="仿宋_GB2312" w:eastAsia="仿宋_GB2312"/>
          <w:b/>
          <w:sz w:val="32"/>
          <w:szCs w:val="32"/>
          <w:highlight w:val="none"/>
        </w:rPr>
        <w:t>7.8</w:t>
      </w:r>
      <w:r>
        <w:rPr>
          <w:rFonts w:hint="eastAsia" w:ascii="仿宋_GB2312" w:eastAsia="仿宋_GB2312"/>
          <w:b/>
          <w:sz w:val="32"/>
          <w:szCs w:val="32"/>
          <w:highlight w:val="none"/>
        </w:rPr>
        <w:t>操作风险状况</w:t>
      </w:r>
    </w:p>
    <w:p>
      <w:pPr>
        <w:pStyle w:val="3"/>
        <w:spacing w:after="0" w:line="480" w:lineRule="exact"/>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通过明确相关管理部门职能和相关人员职责，以及清晰操作管理流程，实行分级管理、层层负责、层层把关、单独考核的风险管理体制，把风险管理贯穿于员工管理、业务操作流程的各个环节，严防操作风险的产生。</w:t>
      </w:r>
    </w:p>
    <w:p>
      <w:pPr>
        <w:spacing w:line="48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7.9声誉风险状况</w:t>
      </w:r>
    </w:p>
    <w:p>
      <w:pPr>
        <w:pStyle w:val="3"/>
        <w:spacing w:after="0" w:line="48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本行</w:t>
      </w:r>
      <w:r>
        <w:rPr>
          <w:rFonts w:ascii="仿宋_GB2312" w:eastAsia="仿宋_GB2312"/>
          <w:sz w:val="32"/>
          <w:szCs w:val="32"/>
          <w:highlight w:val="none"/>
        </w:rPr>
        <w:t>为了使声誉风险管理工作日常化、制度化、规范化，先后制定下发了《高安农商银行声誉风险应急预案》、《关于进一步加强舆情监测处理工作的通知》、《江西高安农村商业银行股份有限公司重大事项报告制度》等文件，明确了声誉风险管理的原则、组织架构及相应职责、管理内容、管理流程和声誉风险识别、评估、控制、监测机制以及声誉风险处置机制等，</w:t>
      </w:r>
      <w:r>
        <w:rPr>
          <w:rFonts w:hint="eastAsia" w:ascii="仿宋_GB2312" w:hAnsi="仿宋_GB2312" w:eastAsia="仿宋_GB2312" w:cs="仿宋_GB2312"/>
          <w:sz w:val="32"/>
          <w:szCs w:val="32"/>
          <w:highlight w:val="none"/>
        </w:rPr>
        <w:t>做到风险控制常抓不懈，成为时时刻刻都要做的事情，确保声誉风险管理工作的落实。总行办公室安排专人负责全行舆情监测工作，各网点、部室安排人员对涉及本网点、本部室的舆情进行网络排查监测。一旦发现舆情，需立即上报至总行办公室，由办公室上报至舆情监测处理工作领导小组讨论处理。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年，我行认真开展舆情监测工作，全年未出现负面舆情问题。</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7.10消费者权益保护工作开展情况</w:t>
      </w:r>
    </w:p>
    <w:p>
      <w:pPr>
        <w:spacing w:line="48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一是我行</w:t>
      </w:r>
      <w:r>
        <w:rPr>
          <w:rFonts w:hint="eastAsia" w:ascii="仿宋_GB2312" w:hAnsi="仿宋_GB2312" w:eastAsia="仿宋_GB2312" w:cs="仿宋_GB2312"/>
          <w:b w:val="0"/>
          <w:bCs w:val="0"/>
          <w:color w:val="auto"/>
          <w:sz w:val="32"/>
          <w:szCs w:val="32"/>
          <w:highlight w:val="none"/>
        </w:rPr>
        <w:t>建立</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产品和服务信息披露机制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制定了《</w:t>
      </w:r>
      <w:r>
        <w:rPr>
          <w:rFonts w:hint="eastAsia" w:ascii="仿宋_GB2312" w:hAnsi="仿宋_GB2312" w:eastAsia="仿宋_GB2312" w:cs="仿宋_GB2312"/>
          <w:color w:val="auto"/>
          <w:sz w:val="32"/>
          <w:szCs w:val="32"/>
          <w:highlight w:val="none"/>
          <w:lang w:val="en-US" w:eastAsia="zh-CN"/>
        </w:rPr>
        <w:t>高安农商银行产品价格信息披露办法》和《高安农商银行服务价格管理办法》，</w:t>
      </w:r>
      <w:r>
        <w:rPr>
          <w:rFonts w:hint="eastAsia" w:ascii="仿宋_GB2312" w:hAnsi="仿宋_GB2312" w:eastAsia="仿宋_GB2312" w:cs="仿宋_GB2312"/>
          <w:b w:val="0"/>
          <w:bCs w:val="0"/>
          <w:color w:val="auto"/>
          <w:sz w:val="32"/>
          <w:szCs w:val="32"/>
          <w:highlight w:val="none"/>
        </w:rPr>
        <w:t>产品和服务信息披露覆盖</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售前、售中、售后全流程，披露内容涵盖</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产品和服务性质、风险、收费情况、合同主要条款；有利于消费者在接受产品和服务前充分了解其特点和风险。</w:t>
      </w:r>
      <w:r>
        <w:rPr>
          <w:rFonts w:hint="eastAsia" w:ascii="仿宋_GB2312" w:hAnsi="仿宋_GB2312" w:eastAsia="仿宋_GB2312" w:cs="仿宋_GB2312"/>
          <w:b w:val="0"/>
          <w:bCs w:val="0"/>
          <w:color w:val="auto"/>
          <w:sz w:val="32"/>
          <w:szCs w:val="32"/>
          <w:highlight w:val="none"/>
          <w:lang w:val="en-US" w:eastAsia="zh-CN"/>
        </w:rPr>
        <w:t>制定了</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高安农商银行个人金融信息保护管理办法》</w:t>
      </w:r>
      <w:r>
        <w:rPr>
          <w:rFonts w:hint="eastAsia" w:ascii="仿宋_GB2312" w:hAnsi="仿宋_GB2312" w:eastAsia="仿宋_GB2312" w:cs="仿宋_GB2312"/>
          <w:color w:val="auto"/>
          <w:kern w:val="0"/>
          <w:sz w:val="32"/>
          <w:szCs w:val="32"/>
          <w:highlight w:val="none"/>
          <w:lang w:eastAsia="zh-CN"/>
        </w:rPr>
        <w:t>，信息的收集、储存、使用符合监管要求。</w:t>
      </w:r>
      <w:r>
        <w:rPr>
          <w:rFonts w:hint="eastAsia" w:ascii="仿宋_GB2312" w:hAnsi="仿宋_GB2312" w:eastAsia="仿宋_GB2312" w:cs="仿宋_GB2312"/>
          <w:color w:val="auto"/>
          <w:kern w:val="0"/>
          <w:sz w:val="32"/>
          <w:szCs w:val="32"/>
          <w:highlight w:val="none"/>
          <w:lang w:val="en-US" w:eastAsia="zh-CN"/>
        </w:rPr>
        <w:t>同时，</w:t>
      </w:r>
      <w:r>
        <w:rPr>
          <w:rFonts w:hint="eastAsia" w:ascii="仿宋_GB2312" w:hAnsi="仿宋_GB2312" w:eastAsia="仿宋_GB2312" w:cs="仿宋_GB2312"/>
          <w:b w:val="0"/>
          <w:bCs w:val="0"/>
          <w:color w:val="auto"/>
          <w:sz w:val="32"/>
          <w:szCs w:val="32"/>
          <w:highlight w:val="none"/>
          <w:lang w:val="en-US" w:eastAsia="zh-CN"/>
        </w:rPr>
        <w:t>我行建立了消费者权益保护内部考核机制，制定了《高安农商银行消费者权益保护工作考核评价办法》，考核对象覆盖了全行员工。二是我行将消保工作纳入了年度审计范畴，审计部</w:t>
      </w:r>
      <w:r>
        <w:rPr>
          <w:rFonts w:hint="eastAsia" w:ascii="仿宋_GB2312" w:hAnsi="仿宋_GB2312" w:eastAsia="仿宋_GB2312" w:cs="仿宋_GB2312"/>
          <w:b w:val="0"/>
          <w:bCs w:val="0"/>
          <w:color w:val="auto"/>
          <w:sz w:val="32"/>
          <w:szCs w:val="32"/>
          <w:highlight w:val="none"/>
        </w:rPr>
        <w:t>于</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份对风险合规部消保工作开展了现场审计</w:t>
      </w:r>
      <w:r>
        <w:rPr>
          <w:rFonts w:hint="eastAsia" w:ascii="仿宋_GB2312" w:hAnsi="仿宋_GB2312" w:eastAsia="仿宋_GB2312" w:cs="仿宋_GB2312"/>
          <w:b w:val="0"/>
          <w:bCs w:val="0"/>
          <w:color w:val="auto"/>
          <w:sz w:val="32"/>
          <w:szCs w:val="32"/>
          <w:highlight w:val="none"/>
        </w:rPr>
        <w:t>，进一步提高了消保工作有效性和针对性。</w:t>
      </w:r>
      <w:r>
        <w:rPr>
          <w:rFonts w:hint="eastAsia" w:ascii="仿宋_GB2312" w:hAnsi="仿宋_GB2312" w:eastAsia="仿宋_GB2312" w:cs="仿宋_GB2312"/>
          <w:b w:val="0"/>
          <w:bCs w:val="0"/>
          <w:color w:val="auto"/>
          <w:sz w:val="32"/>
          <w:szCs w:val="32"/>
          <w:highlight w:val="none"/>
          <w:lang w:val="en-US" w:eastAsia="zh-CN"/>
        </w:rPr>
        <w:t>风险合规部</w:t>
      </w:r>
      <w:r>
        <w:rPr>
          <w:rFonts w:hint="eastAsia" w:ascii="仿宋_GB2312" w:hAnsi="仿宋_GB2312" w:eastAsia="仿宋_GB2312" w:cs="仿宋_GB2312"/>
          <w:b w:val="0"/>
          <w:bCs w:val="0"/>
          <w:color w:val="auto"/>
          <w:sz w:val="32"/>
          <w:szCs w:val="32"/>
          <w:highlight w:val="none"/>
        </w:rPr>
        <w:t>根据审计发现问题采取</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有针对性的问责和整改等措施，并有序推进</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整改工作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三是我行</w:t>
      </w:r>
      <w:r>
        <w:rPr>
          <w:rFonts w:hint="eastAsia" w:ascii="仿宋_GB2312" w:hAnsi="仿宋_GB2312" w:eastAsia="仿宋_GB2312" w:cs="仿宋_GB2312"/>
          <w:b w:val="0"/>
          <w:bCs w:val="0"/>
          <w:color w:val="auto"/>
          <w:sz w:val="32"/>
          <w:szCs w:val="32"/>
          <w:highlight w:val="none"/>
        </w:rPr>
        <w:t>加强了内部教育培训，制定了培训计划，开展了专项培训。制定年度培训计划。</w:t>
      </w:r>
      <w:r>
        <w:rPr>
          <w:rFonts w:hint="eastAsia" w:ascii="仿宋_GB2312" w:hAnsi="仿宋_GB2312" w:eastAsia="仿宋_GB2312" w:cs="仿宋_GB2312"/>
          <w:b w:val="0"/>
          <w:bCs w:val="0"/>
          <w:color w:val="auto"/>
          <w:sz w:val="32"/>
          <w:szCs w:val="32"/>
          <w:highlight w:val="none"/>
          <w:lang w:val="en-US" w:eastAsia="zh-CN"/>
        </w:rPr>
        <w:t>我行</w:t>
      </w:r>
      <w:r>
        <w:rPr>
          <w:rFonts w:hint="eastAsia" w:ascii="仿宋_GB2312" w:hAnsi="仿宋_GB2312" w:eastAsia="仿宋_GB2312" w:cs="仿宋_GB2312"/>
          <w:b w:val="0"/>
          <w:bCs w:val="0"/>
          <w:color w:val="auto"/>
          <w:sz w:val="32"/>
          <w:szCs w:val="32"/>
          <w:highlight w:val="none"/>
        </w:rPr>
        <w:t>年初制定了</w:t>
      </w:r>
      <w:r>
        <w:rPr>
          <w:rFonts w:hint="eastAsia" w:ascii="仿宋_GB2312" w:hAnsi="仿宋_GB2312" w:eastAsia="仿宋_GB2312" w:cs="仿宋_GB2312"/>
          <w:b w:val="0"/>
          <w:bCs w:val="0"/>
          <w:color w:val="auto"/>
          <w:sz w:val="32"/>
          <w:szCs w:val="32"/>
          <w:highlight w:val="none"/>
          <w:lang w:val="en-US" w:eastAsia="zh-CN"/>
        </w:rPr>
        <w:t>《高安农商银行2022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员工</w:t>
      </w:r>
      <w:r>
        <w:rPr>
          <w:rFonts w:hint="eastAsia" w:ascii="仿宋_GB2312" w:hAnsi="仿宋_GB2312" w:eastAsia="仿宋_GB2312" w:cs="仿宋_GB2312"/>
          <w:b w:val="0"/>
          <w:bCs w:val="0"/>
          <w:color w:val="auto"/>
          <w:sz w:val="32"/>
          <w:szCs w:val="32"/>
          <w:highlight w:val="none"/>
        </w:rPr>
        <w:t>消保培训计划</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培训对象</w:t>
      </w:r>
      <w:r>
        <w:rPr>
          <w:rFonts w:hint="eastAsia" w:ascii="仿宋_GB2312" w:hAnsi="仿宋_GB2312" w:eastAsia="仿宋_GB2312" w:cs="仿宋_GB2312"/>
          <w:b w:val="0"/>
          <w:bCs w:val="0"/>
          <w:color w:val="auto"/>
          <w:sz w:val="32"/>
          <w:szCs w:val="32"/>
          <w:highlight w:val="none"/>
        </w:rPr>
        <w:t>涵盖</w:t>
      </w:r>
      <w:r>
        <w:rPr>
          <w:rFonts w:hint="eastAsia" w:ascii="仿宋_GB2312" w:hAnsi="仿宋_GB2312" w:eastAsia="仿宋_GB2312" w:cs="仿宋_GB2312"/>
          <w:b w:val="0"/>
          <w:bCs w:val="0"/>
          <w:color w:val="auto"/>
          <w:sz w:val="32"/>
          <w:szCs w:val="32"/>
          <w:highlight w:val="none"/>
          <w:lang w:val="en-US" w:eastAsia="zh-CN"/>
        </w:rPr>
        <w:t>全行员工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并留存培训通知、照片及签到表等培训记录，</w:t>
      </w:r>
      <w:r>
        <w:rPr>
          <w:rFonts w:hint="eastAsia" w:ascii="仿宋_GB2312" w:hAnsi="仿宋_GB2312" w:eastAsia="仿宋_GB2312" w:cs="仿宋_GB2312"/>
          <w:b w:val="0"/>
          <w:bCs w:val="0"/>
          <w:color w:val="auto"/>
          <w:sz w:val="32"/>
          <w:szCs w:val="32"/>
          <w:highlight w:val="none"/>
          <w:lang w:eastAsia="zh-CN"/>
        </w:rPr>
        <w:t>符合培训计划要求。</w:t>
      </w:r>
      <w:r>
        <w:rPr>
          <w:rFonts w:hint="eastAsia" w:ascii="仿宋_GB2312" w:hAnsi="仿宋_GB2312" w:eastAsia="仿宋_GB2312" w:cs="仿宋_GB2312"/>
          <w:b w:val="0"/>
          <w:bCs w:val="0"/>
          <w:color w:val="auto"/>
          <w:sz w:val="32"/>
          <w:szCs w:val="32"/>
          <w:highlight w:val="none"/>
        </w:rPr>
        <w:t>开展消保专题培训。</w:t>
      </w:r>
      <w:r>
        <w:rPr>
          <w:rFonts w:hint="eastAsia" w:ascii="仿宋_GB2312" w:hAnsi="仿宋_GB2312" w:eastAsia="仿宋_GB2312" w:cs="仿宋_GB2312"/>
          <w:b w:val="0"/>
          <w:bCs w:val="0"/>
          <w:color w:val="auto"/>
          <w:sz w:val="32"/>
          <w:szCs w:val="32"/>
          <w:highlight w:val="none"/>
          <w:lang w:val="en-US" w:eastAsia="zh-CN"/>
        </w:rPr>
        <w:t>为</w:t>
      </w:r>
      <w:r>
        <w:rPr>
          <w:rFonts w:hint="eastAsia" w:ascii="仿宋_GB2312" w:hAnsi="仿宋_GB2312" w:eastAsia="仿宋_GB2312" w:cs="仿宋_GB2312"/>
          <w:b w:val="0"/>
          <w:bCs w:val="0"/>
          <w:color w:val="auto"/>
          <w:kern w:val="0"/>
          <w:sz w:val="32"/>
          <w:szCs w:val="32"/>
          <w:highlight w:val="none"/>
        </w:rPr>
        <w:t>进一步提高员工消保工作意识和工作能力</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我行于2022年11月3日举办</w:t>
      </w:r>
      <w:r>
        <w:rPr>
          <w:rFonts w:hint="eastAsia" w:ascii="仿宋_GB2312" w:hAnsi="仿宋_GB2312" w:eastAsia="仿宋_GB2312" w:cs="仿宋_GB2312"/>
          <w:b w:val="0"/>
          <w:bCs w:val="0"/>
          <w:color w:val="auto"/>
          <w:sz w:val="32"/>
          <w:szCs w:val="32"/>
          <w:highlight w:val="none"/>
        </w:rPr>
        <w:t>高安农商银行202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kern w:val="0"/>
          <w:sz w:val="32"/>
          <w:szCs w:val="32"/>
          <w:highlight w:val="none"/>
        </w:rPr>
        <w:t>消保</w:t>
      </w:r>
      <w:r>
        <w:rPr>
          <w:rFonts w:hint="eastAsia" w:ascii="仿宋_GB2312" w:hAnsi="仿宋_GB2312" w:eastAsia="仿宋_GB2312" w:cs="仿宋_GB2312"/>
          <w:b w:val="0"/>
          <w:bCs w:val="0"/>
          <w:color w:val="auto"/>
          <w:sz w:val="32"/>
          <w:szCs w:val="32"/>
          <w:highlight w:val="none"/>
        </w:rPr>
        <w:t>知识培训</w:t>
      </w:r>
      <w:r>
        <w:rPr>
          <w:rFonts w:hint="eastAsia" w:ascii="仿宋_GB2312" w:hAnsi="仿宋_GB2312" w:eastAsia="仿宋_GB2312" w:cs="仿宋_GB2312"/>
          <w:b w:val="0"/>
          <w:bCs w:val="0"/>
          <w:color w:val="auto"/>
          <w:sz w:val="32"/>
          <w:szCs w:val="32"/>
          <w:highlight w:val="none"/>
          <w:lang w:val="en-US" w:eastAsia="zh-CN"/>
        </w:rPr>
        <w:t>。通过此次培训，</w:t>
      </w:r>
      <w:r>
        <w:rPr>
          <w:rFonts w:hint="eastAsia" w:ascii="仿宋_GB2312" w:hAnsi="仿宋_GB2312" w:eastAsia="仿宋_GB2312" w:cs="仿宋_GB2312"/>
          <w:b w:val="0"/>
          <w:bCs w:val="0"/>
          <w:color w:val="auto"/>
          <w:sz w:val="32"/>
          <w:szCs w:val="32"/>
          <w:highlight w:val="none"/>
        </w:rPr>
        <w:t>增强了员工保护消费者权益的意识和业务能力，熟悉消费者权益保护知识，更好地服务金融消费者，进一步提升了全行消费者权益保护工作水平。</w:t>
      </w:r>
      <w:r>
        <w:rPr>
          <w:rFonts w:hint="eastAsia" w:ascii="仿宋_GB2312" w:hAnsi="仿宋_GB2312" w:eastAsia="仿宋_GB2312" w:cs="仿宋_GB2312"/>
          <w:b w:val="0"/>
          <w:bCs w:val="0"/>
          <w:color w:val="auto"/>
          <w:sz w:val="32"/>
          <w:szCs w:val="32"/>
          <w:highlight w:val="none"/>
          <w:lang w:val="en-US" w:eastAsia="zh-CN"/>
        </w:rPr>
        <w:t>同时我行还建立了《高安农商银行消保服务考评办法》。四是我行</w:t>
      </w:r>
      <w:r>
        <w:rPr>
          <w:rFonts w:hint="eastAsia" w:ascii="仿宋_GB2312" w:hAnsi="仿宋_GB2312" w:eastAsia="仿宋_GB2312" w:cs="仿宋_GB2312"/>
          <w:b w:val="0"/>
          <w:bCs w:val="0"/>
          <w:color w:val="auto"/>
          <w:sz w:val="32"/>
          <w:szCs w:val="32"/>
          <w:highlight w:val="none"/>
        </w:rPr>
        <w:t>积极开展外部教育和宣传，踊跃参加人民银行、银</w:t>
      </w:r>
      <w:r>
        <w:rPr>
          <w:rFonts w:hint="eastAsia" w:ascii="仿宋_GB2312" w:hAnsi="仿宋_GB2312" w:eastAsia="仿宋_GB2312" w:cs="仿宋_GB2312"/>
          <w:b w:val="0"/>
          <w:bCs w:val="0"/>
          <w:color w:val="auto"/>
          <w:sz w:val="32"/>
          <w:szCs w:val="32"/>
          <w:highlight w:val="none"/>
          <w:lang w:val="en-US" w:eastAsia="zh-CN"/>
        </w:rPr>
        <w:t>保</w:t>
      </w:r>
      <w:r>
        <w:rPr>
          <w:rFonts w:hint="eastAsia" w:ascii="仿宋_GB2312" w:hAnsi="仿宋_GB2312" w:eastAsia="仿宋_GB2312" w:cs="仿宋_GB2312"/>
          <w:b w:val="0"/>
          <w:bCs w:val="0"/>
          <w:color w:val="auto"/>
          <w:sz w:val="32"/>
          <w:szCs w:val="32"/>
          <w:highlight w:val="none"/>
        </w:rPr>
        <w:t>监等上级监管部门组织的各种活动，组织开展了多样性的金融宣传教育活动。</w:t>
      </w:r>
      <w:r>
        <w:rPr>
          <w:rFonts w:hint="eastAsia" w:ascii="仿宋_GB2312" w:hAnsi="仿宋_GB2312" w:eastAsia="仿宋_GB2312" w:cs="仿宋_GB2312"/>
          <w:b w:val="0"/>
          <w:bCs w:val="0"/>
          <w:color w:val="auto"/>
          <w:sz w:val="32"/>
          <w:szCs w:val="32"/>
          <w:highlight w:val="none"/>
          <w:lang w:val="en-US" w:eastAsia="zh-CN"/>
        </w:rPr>
        <w:t>2022年开展了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金融消费者权益日”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“普及金融知识 守住‘钱袋子’”、“普及金融知识万里行”、“金融知识普及月”等宣传活动，提高了社会公众对金融知识普及和认知程度。五是我行</w:t>
      </w:r>
      <w:r>
        <w:rPr>
          <w:rFonts w:hint="eastAsia" w:ascii="仿宋_GB2312" w:hAnsi="仿宋_GB2312" w:eastAsia="仿宋_GB2312" w:cs="仿宋_GB2312"/>
          <w:b w:val="0"/>
          <w:bCs w:val="0"/>
          <w:color w:val="auto"/>
          <w:sz w:val="32"/>
          <w:szCs w:val="32"/>
          <w:highlight w:val="none"/>
        </w:rPr>
        <w:t>积极做好投诉处理工作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建立了《高安农商银行消费投诉管理办法》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明确了</w:t>
      </w:r>
      <w:r>
        <w:rPr>
          <w:rFonts w:hint="eastAsia" w:ascii="仿宋_GB2312" w:hAnsi="仿宋_GB2312" w:eastAsia="仿宋_GB2312" w:cs="仿宋_GB2312"/>
          <w:b w:val="0"/>
          <w:bCs w:val="0"/>
          <w:color w:val="auto"/>
          <w:sz w:val="32"/>
          <w:szCs w:val="32"/>
          <w:highlight w:val="none"/>
          <w:lang w:val="en-US" w:eastAsia="zh-CN"/>
        </w:rPr>
        <w:t>我行投诉</w:t>
      </w:r>
      <w:r>
        <w:rPr>
          <w:rFonts w:hint="eastAsia" w:ascii="仿宋_GB2312" w:hAnsi="仿宋_GB2312" w:eastAsia="仿宋_GB2312" w:cs="仿宋_GB2312"/>
          <w:b w:val="0"/>
          <w:bCs w:val="0"/>
          <w:color w:val="auto"/>
          <w:sz w:val="32"/>
          <w:szCs w:val="32"/>
          <w:highlight w:val="none"/>
        </w:rPr>
        <w:t>处理原则、</w:t>
      </w:r>
      <w:r>
        <w:rPr>
          <w:rFonts w:hint="eastAsia" w:ascii="仿宋_GB2312" w:hAnsi="仿宋_GB2312" w:eastAsia="仿宋_GB2312" w:cs="仿宋_GB2312"/>
          <w:b w:val="0"/>
          <w:bCs w:val="0"/>
          <w:color w:val="auto"/>
          <w:sz w:val="32"/>
          <w:szCs w:val="32"/>
          <w:highlight w:val="none"/>
          <w:lang w:val="en-US" w:eastAsia="zh-CN"/>
        </w:rPr>
        <w:t>部门职责分工、</w:t>
      </w:r>
      <w:r>
        <w:rPr>
          <w:rFonts w:hint="eastAsia" w:ascii="仿宋_GB2312" w:hAnsi="仿宋_GB2312" w:eastAsia="仿宋_GB2312" w:cs="仿宋_GB2312"/>
          <w:b w:val="0"/>
          <w:bCs w:val="0"/>
          <w:color w:val="auto"/>
          <w:sz w:val="32"/>
          <w:szCs w:val="32"/>
          <w:highlight w:val="none"/>
        </w:rPr>
        <w:t>客户投诉</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rPr>
        <w:t>、处理流程、</w:t>
      </w:r>
      <w:r>
        <w:rPr>
          <w:rFonts w:hint="eastAsia" w:ascii="仿宋_GB2312" w:hAnsi="仿宋_GB2312" w:eastAsia="仿宋_GB2312" w:cs="仿宋_GB2312"/>
          <w:b w:val="0"/>
          <w:bCs w:val="0"/>
          <w:color w:val="auto"/>
          <w:sz w:val="32"/>
          <w:szCs w:val="32"/>
          <w:highlight w:val="none"/>
          <w:lang w:val="en-US" w:eastAsia="zh-CN"/>
        </w:rPr>
        <w:t>处理方法、制度机制</w:t>
      </w:r>
      <w:r>
        <w:rPr>
          <w:rFonts w:hint="eastAsia" w:ascii="仿宋_GB2312" w:hAnsi="仿宋_GB2312" w:eastAsia="仿宋_GB2312" w:cs="仿宋_GB2312"/>
          <w:b w:val="0"/>
          <w:bCs w:val="0"/>
          <w:color w:val="auto"/>
          <w:sz w:val="32"/>
          <w:szCs w:val="32"/>
          <w:highlight w:val="none"/>
        </w:rPr>
        <w:t>等内容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总行运营管理部</w:t>
      </w:r>
      <w:r>
        <w:rPr>
          <w:rFonts w:hint="eastAsia" w:ascii="仿宋_GB2312" w:hAnsi="仿宋_GB2312" w:eastAsia="仿宋_GB2312" w:cs="仿宋_GB2312"/>
          <w:b w:val="0"/>
          <w:bCs w:val="0"/>
          <w:color w:val="auto"/>
          <w:sz w:val="32"/>
          <w:szCs w:val="32"/>
          <w:highlight w:val="none"/>
        </w:rPr>
        <w:t>按季收集客户</w:t>
      </w:r>
      <w:r>
        <w:rPr>
          <w:rFonts w:hint="eastAsia" w:ascii="仿宋_GB2312" w:hAnsi="仿宋_GB2312" w:eastAsia="仿宋_GB2312" w:cs="仿宋_GB2312"/>
          <w:b w:val="0"/>
          <w:bCs w:val="0"/>
          <w:color w:val="auto"/>
          <w:sz w:val="32"/>
          <w:szCs w:val="32"/>
          <w:highlight w:val="none"/>
          <w:lang w:val="en-US" w:eastAsia="zh-CN"/>
        </w:rPr>
        <w:t>投诉信息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形成金融消费者投诉台账</w:t>
      </w:r>
      <w:r>
        <w:rPr>
          <w:rFonts w:hint="eastAsia" w:ascii="仿宋_GB2312" w:hAnsi="仿宋_GB2312" w:eastAsia="仿宋_GB2312" w:cs="仿宋_GB2312"/>
          <w:b w:val="0"/>
          <w:bCs w:val="0"/>
          <w:color w:val="auto"/>
          <w:sz w:val="32"/>
          <w:szCs w:val="32"/>
          <w:highlight w:val="none"/>
        </w:rPr>
        <w:t>，省联社建立了客户服务管理系统，</w:t>
      </w:r>
      <w:r>
        <w:rPr>
          <w:rFonts w:hint="eastAsia" w:ascii="仿宋_GB2312" w:hAnsi="仿宋_GB2312" w:eastAsia="仿宋_GB2312" w:cs="仿宋_GB2312"/>
          <w:b w:val="0"/>
          <w:bCs w:val="0"/>
          <w:color w:val="auto"/>
          <w:sz w:val="32"/>
          <w:szCs w:val="32"/>
          <w:highlight w:val="none"/>
          <w:lang w:val="en-US" w:eastAsia="zh-CN"/>
        </w:rPr>
        <w:t>运营管理部设置了专岗专人负责</w:t>
      </w:r>
      <w:r>
        <w:rPr>
          <w:rFonts w:hint="eastAsia" w:ascii="仿宋_GB2312" w:hAnsi="仿宋_GB2312" w:eastAsia="仿宋_GB2312" w:cs="仿宋_GB2312"/>
          <w:b w:val="0"/>
          <w:bCs w:val="0"/>
          <w:color w:val="auto"/>
          <w:sz w:val="32"/>
          <w:szCs w:val="32"/>
          <w:highlight w:val="none"/>
        </w:rPr>
        <w:t>及时受理、处理、监测投诉情况，全面记录投诉受理和处理</w:t>
      </w:r>
      <w:r>
        <w:rPr>
          <w:rFonts w:hint="eastAsia" w:ascii="仿宋_GB2312" w:hAnsi="仿宋_GB2312" w:eastAsia="仿宋_GB2312" w:cs="仿宋_GB2312"/>
          <w:color w:val="auto"/>
          <w:sz w:val="32"/>
          <w:szCs w:val="32"/>
          <w:highlight w:val="none"/>
        </w:rPr>
        <w:t>全过程。</w:t>
      </w:r>
      <w:r>
        <w:rPr>
          <w:rFonts w:hint="eastAsia" w:ascii="仿宋_GB2312" w:hAnsi="仿宋_GB2312" w:eastAsia="仿宋_GB2312" w:cs="仿宋_GB2312"/>
          <w:color w:val="auto"/>
          <w:sz w:val="32"/>
          <w:szCs w:val="32"/>
          <w:highlight w:val="none"/>
          <w:lang w:val="en-US" w:eastAsia="zh-CN"/>
        </w:rPr>
        <w:t>通过投诉管理系统处理客户投诉，并分析投诉形成的原因，加强员工服务管理和产品改进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我行不断健全完善消费投诉处理制度机制，</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我行</w:t>
      </w:r>
      <w:r>
        <w:rPr>
          <w:rFonts w:hint="eastAsia" w:ascii="仿宋_GB2312" w:hAnsi="仿宋_GB2312" w:eastAsia="仿宋_GB2312" w:cs="仿宋_GB2312"/>
          <w:color w:val="auto"/>
          <w:sz w:val="32"/>
          <w:szCs w:val="32"/>
          <w:highlight w:val="none"/>
        </w:rPr>
        <w:t>全年共受理消费者投诉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处理投诉5件，</w:t>
      </w:r>
      <w:r>
        <w:rPr>
          <w:rFonts w:hint="eastAsia" w:ascii="仿宋_GB2312" w:hAnsi="仿宋_GB2312" w:eastAsia="仿宋_GB2312" w:cs="仿宋_GB2312"/>
          <w:color w:val="auto"/>
          <w:sz w:val="32"/>
          <w:szCs w:val="32"/>
          <w:highlight w:val="none"/>
        </w:rPr>
        <w:t>投诉办结率达到100%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客户</w:t>
      </w: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val="en-US" w:eastAsia="zh-CN"/>
        </w:rPr>
        <w:t>得到妥善、及时处理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022</w:t>
      </w:r>
      <w:r>
        <w:rPr>
          <w:rFonts w:hint="eastAsia" w:ascii="仿宋_GB2312" w:hAnsi="仿宋_GB2312" w:eastAsia="仿宋_GB2312" w:cs="仿宋_GB2312"/>
          <w:bCs/>
          <w:color w:val="auto"/>
          <w:sz w:val="32"/>
          <w:szCs w:val="32"/>
          <w:highlight w:val="none"/>
        </w:rPr>
        <w:t>年12月，根据《金融消费权益保护工作评价办法》要求，对本行20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年金融消费者权益保护工作进行自评，形成《高安农商银行202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年金融消费者权益保护工作自评报告》。</w:t>
      </w:r>
    </w:p>
    <w:p>
      <w:pPr>
        <w:widowControl/>
        <w:shd w:val="clear" w:color="auto" w:fill="FFFFFF"/>
        <w:spacing w:line="480" w:lineRule="exact"/>
        <w:ind w:firstLine="643" w:firstLineChars="200"/>
        <w:jc w:val="left"/>
        <w:rPr>
          <w:rFonts w:ascii="仿宋_GB2312" w:hAnsi="仿宋_GB2312" w:eastAsia="仿宋_GB2312" w:cs="仿宋_GB2312"/>
          <w:b/>
          <w:color w:val="FF0000"/>
          <w:kern w:val="0"/>
          <w:sz w:val="32"/>
          <w:szCs w:val="32"/>
          <w:highlight w:val="none"/>
        </w:rPr>
      </w:pPr>
      <w:r>
        <w:rPr>
          <w:rFonts w:hint="eastAsia" w:ascii="仿宋_GB2312" w:hAnsi="仿宋_GB2312" w:eastAsia="仿宋_GB2312" w:cs="仿宋_GB2312"/>
          <w:b/>
          <w:kern w:val="0"/>
          <w:sz w:val="32"/>
          <w:szCs w:val="32"/>
          <w:highlight w:val="none"/>
        </w:rPr>
        <w:t>7.11公司治理自评估情况</w:t>
      </w:r>
    </w:p>
    <w:p>
      <w:pPr>
        <w:spacing w:line="480" w:lineRule="exact"/>
        <w:ind w:left="-105" w:leftChars="-50"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为有效开展公司治理评估工作，我行高度重视，积极组织，明确董事会秘书具体负责，对公司治理监管评估相关信息进行收集、审核。风险合规部作为评估系统的使用部门，负责对公司治理监管评估相关信息的录入。评估工作由董事会秘书牵头，根据《商业银行公司治理合规性评价表》和《商业银行公司治理有效性评价表》的具体评价指标确定各个项目的执行部门，采取逐项对照自查法，进行检查。</w:t>
      </w:r>
    </w:p>
    <w:p>
      <w:pPr>
        <w:spacing w:line="480" w:lineRule="exact"/>
        <w:ind w:left="-105" w:leftChars="-50" w:firstLine="640" w:firstLineChars="200"/>
        <w:rPr>
          <w:rFonts w:ascii="仿宋" w:hAnsi="仿宋" w:eastAsia="仿宋" w:cs="仿宋"/>
          <w:bCs/>
          <w:sz w:val="32"/>
          <w:szCs w:val="32"/>
          <w:highlight w:val="none"/>
        </w:rPr>
      </w:pPr>
      <w:r>
        <w:rPr>
          <w:rFonts w:hint="eastAsia" w:ascii="仿宋_GB2312" w:hAnsi="仿宋_GB2312" w:eastAsia="仿宋_GB2312" w:cs="仿宋_GB2312"/>
          <w:bCs/>
          <w:sz w:val="32"/>
          <w:szCs w:val="32"/>
          <w:highlight w:val="none"/>
        </w:rPr>
        <w:t>通过自评，本行公司治理各方面健全，未发现明显的合规性及有效性问题，公司治理机制运转有效。202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年本行公司治理</w:t>
      </w:r>
      <w:r>
        <w:rPr>
          <w:rFonts w:hint="eastAsia" w:ascii="仿宋_GB2312" w:hAnsi="仿宋_GB2312" w:eastAsia="仿宋_GB2312" w:cs="仿宋_GB2312"/>
          <w:bCs/>
          <w:sz w:val="32"/>
          <w:szCs w:val="32"/>
          <w:highlight w:val="none"/>
          <w:lang w:eastAsia="zh-CN"/>
        </w:rPr>
        <w:t>自</w:t>
      </w:r>
      <w:r>
        <w:rPr>
          <w:rFonts w:hint="eastAsia" w:ascii="仿宋_GB2312" w:hAnsi="仿宋_GB2312" w:eastAsia="仿宋_GB2312" w:cs="仿宋_GB2312"/>
          <w:bCs/>
          <w:sz w:val="32"/>
          <w:szCs w:val="32"/>
          <w:highlight w:val="none"/>
        </w:rPr>
        <w:t>评估合规性评价得分</w:t>
      </w:r>
      <w:r>
        <w:rPr>
          <w:rFonts w:hint="eastAsia" w:ascii="仿宋_GB2312" w:hAnsi="仿宋_GB2312" w:eastAsia="仿宋_GB2312" w:cs="仿宋_GB2312"/>
          <w:bCs/>
          <w:sz w:val="32"/>
          <w:szCs w:val="32"/>
          <w:highlight w:val="none"/>
          <w:lang w:val="en-US" w:eastAsia="zh-CN"/>
        </w:rPr>
        <w:t>89</w:t>
      </w:r>
      <w:r>
        <w:rPr>
          <w:rFonts w:hint="eastAsia" w:ascii="仿宋_GB2312" w:hAnsi="仿宋_GB2312" w:eastAsia="仿宋_GB2312" w:cs="仿宋_GB2312"/>
          <w:bCs/>
          <w:sz w:val="32"/>
          <w:szCs w:val="32"/>
          <w:highlight w:val="none"/>
        </w:rPr>
        <w:t>分、有效性评价得分-</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分，公司治理评价总分</w:t>
      </w:r>
      <w:r>
        <w:rPr>
          <w:rFonts w:hint="eastAsia" w:ascii="仿宋_GB2312" w:hAnsi="仿宋_GB2312" w:eastAsia="仿宋_GB2312" w:cs="仿宋_GB2312"/>
          <w:bCs/>
          <w:sz w:val="32"/>
          <w:szCs w:val="32"/>
          <w:highlight w:val="none"/>
          <w:lang w:val="en-US" w:eastAsia="zh-CN"/>
        </w:rPr>
        <w:t>79</w:t>
      </w:r>
      <w:r>
        <w:rPr>
          <w:rFonts w:hint="eastAsia" w:ascii="仿宋_GB2312" w:hAnsi="仿宋_GB2312" w:eastAsia="仿宋_GB2312" w:cs="仿宋_GB2312"/>
          <w:bCs/>
          <w:sz w:val="32"/>
          <w:szCs w:val="32"/>
          <w:highlight w:val="none"/>
        </w:rPr>
        <w:t>分，不存在调降评级事项，最终评价等级为</w:t>
      </w:r>
      <w:r>
        <w:rPr>
          <w:rFonts w:hint="eastAsia" w:ascii="仿宋_GB2312" w:hAnsi="仿宋_GB2312" w:eastAsia="仿宋_GB2312" w:cs="仿宋_GB2312"/>
          <w:bCs/>
          <w:sz w:val="32"/>
          <w:szCs w:val="32"/>
          <w:highlight w:val="none"/>
          <w:lang w:val="en-US" w:eastAsia="zh-CN"/>
        </w:rPr>
        <w:t>B</w:t>
      </w:r>
      <w:r>
        <w:rPr>
          <w:rFonts w:hint="eastAsia" w:ascii="仿宋_GB2312" w:hAnsi="仿宋_GB2312" w:eastAsia="仿宋_GB2312" w:cs="仿宋_GB2312"/>
          <w:bCs/>
          <w:sz w:val="32"/>
          <w:szCs w:val="32"/>
          <w:highlight w:val="none"/>
        </w:rPr>
        <w:t>级。</w:t>
      </w:r>
    </w:p>
    <w:p>
      <w:pPr>
        <w:widowControl/>
        <w:shd w:val="clear" w:color="auto" w:fill="FFFFFF"/>
        <w:spacing w:line="480" w:lineRule="exact"/>
        <w:ind w:firstLine="640" w:firstLineChars="200"/>
        <w:jc w:val="left"/>
        <w:rPr>
          <w:rFonts w:asci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八、资本管理计划</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为满足不断提高的资本监管要求，本行通过</w:t>
      </w:r>
      <w:r>
        <w:rPr>
          <w:rFonts w:hint="eastAsia" w:ascii="仿宋_GB2312" w:hAnsi="仿宋" w:eastAsia="仿宋_GB2312"/>
          <w:color w:val="auto"/>
          <w:sz w:val="32"/>
          <w:szCs w:val="32"/>
          <w:highlight w:val="none"/>
        </w:rPr>
        <w:t>优化费用管理，降低信贷成本，</w:t>
      </w:r>
      <w:r>
        <w:rPr>
          <w:rFonts w:hint="eastAsia" w:ascii="仿宋_GB2312" w:hAnsi="宋体" w:eastAsia="仿宋_GB2312" w:cs="宋体"/>
          <w:color w:val="auto"/>
          <w:kern w:val="0"/>
          <w:sz w:val="32"/>
          <w:szCs w:val="32"/>
          <w:highlight w:val="none"/>
        </w:rPr>
        <w:t>提高盈利能力，增加利润积累等举措提高资本管理。同时，通过</w:t>
      </w:r>
      <w:r>
        <w:rPr>
          <w:rFonts w:hint="eastAsia" w:ascii="仿宋_GB2312" w:hAnsi="仿宋" w:eastAsia="仿宋_GB2312"/>
          <w:color w:val="auto"/>
          <w:sz w:val="32"/>
          <w:szCs w:val="32"/>
          <w:highlight w:val="none"/>
        </w:rPr>
        <w:t>加快网点转型、业务转型，</w:t>
      </w:r>
      <w:r>
        <w:rPr>
          <w:rFonts w:hint="eastAsia" w:ascii="仿宋_GB2312" w:hAnsi="宋体" w:eastAsia="仿宋_GB2312" w:cs="宋体"/>
          <w:color w:val="auto"/>
          <w:kern w:val="0"/>
          <w:sz w:val="32"/>
          <w:szCs w:val="32"/>
          <w:highlight w:val="none"/>
        </w:rPr>
        <w:t>不断</w:t>
      </w:r>
      <w:r>
        <w:rPr>
          <w:rFonts w:hint="eastAsia" w:ascii="仿宋_GB2312" w:hAnsi="仿宋" w:eastAsia="仿宋_GB2312"/>
          <w:color w:val="auto"/>
          <w:sz w:val="32"/>
          <w:szCs w:val="32"/>
          <w:highlight w:val="none"/>
        </w:rPr>
        <w:t>优化资产负债结构，降低风险权重，</w:t>
      </w:r>
      <w:r>
        <w:rPr>
          <w:rFonts w:hint="eastAsia" w:ascii="仿宋_GB2312" w:hAnsi="宋体" w:eastAsia="仿宋_GB2312" w:cs="宋体"/>
          <w:color w:val="auto"/>
          <w:kern w:val="0"/>
          <w:sz w:val="32"/>
          <w:szCs w:val="32"/>
          <w:highlight w:val="none"/>
        </w:rPr>
        <w:t>实现经营战略的转型。</w:t>
      </w:r>
    </w:p>
    <w:p>
      <w:pPr>
        <w:shd w:val="clear" w:color="auto" w:fill="FFFFFF"/>
        <w:spacing w:line="48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九、薪酬情况</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2022</w:t>
      </w:r>
      <w:r>
        <w:rPr>
          <w:rFonts w:hint="eastAsia" w:ascii="仿宋_GB2312" w:hAnsi="宋体" w:eastAsia="仿宋_GB2312" w:cs="宋体"/>
          <w:color w:val="auto"/>
          <w:kern w:val="0"/>
          <w:sz w:val="32"/>
          <w:szCs w:val="32"/>
          <w:highlight w:val="none"/>
        </w:rPr>
        <w:t>年，全行薪酬总额</w:t>
      </w:r>
      <w:r>
        <w:rPr>
          <w:rFonts w:ascii="仿宋_GB2312" w:hAnsi="宋体" w:eastAsia="仿宋_GB2312" w:cs="宋体"/>
          <w:color w:val="auto"/>
          <w:kern w:val="0"/>
          <w:sz w:val="32"/>
          <w:szCs w:val="32"/>
          <w:highlight w:val="none"/>
        </w:rPr>
        <w:t>7801</w:t>
      </w:r>
      <w:r>
        <w:rPr>
          <w:rFonts w:hint="eastAsia" w:ascii="仿宋_GB2312" w:hAnsi="宋体" w:eastAsia="仿宋_GB2312" w:cs="宋体"/>
          <w:color w:val="auto"/>
          <w:kern w:val="0"/>
          <w:sz w:val="32"/>
          <w:szCs w:val="32"/>
          <w:highlight w:val="none"/>
        </w:rPr>
        <w:t>万元，接近同业中等水平，在薪酬分配方面，按照“按劳计酬、多劳多得”的思路，进一步完善全面绩效管理，在考核方法上采取计价、评</w:t>
      </w:r>
      <w:r>
        <w:rPr>
          <w:rFonts w:ascii="仿宋_GB2312" w:hAnsi="宋体" w:eastAsia="仿宋_GB2312" w:cs="宋体"/>
          <w:color w:val="auto"/>
          <w:kern w:val="0"/>
          <w:sz w:val="32"/>
          <w:szCs w:val="32"/>
          <w:highlight w:val="none"/>
        </w:rPr>
        <w:t>分等</w:t>
      </w:r>
      <w:r>
        <w:rPr>
          <w:rFonts w:hint="eastAsia" w:ascii="仿宋_GB2312" w:hAnsi="宋体" w:eastAsia="仿宋_GB2312" w:cs="宋体"/>
          <w:color w:val="auto"/>
          <w:kern w:val="0"/>
          <w:sz w:val="32"/>
          <w:szCs w:val="32"/>
          <w:highlight w:val="none"/>
        </w:rPr>
        <w:t>方式，对业务人员根据个人业绩计发绩效薪酬，根据岗位不同设定不同的考核指标，对网</w:t>
      </w:r>
      <w:r>
        <w:rPr>
          <w:rFonts w:ascii="仿宋_GB2312" w:hAnsi="宋体" w:eastAsia="仿宋_GB2312" w:cs="宋体"/>
          <w:color w:val="auto"/>
          <w:kern w:val="0"/>
          <w:sz w:val="32"/>
          <w:szCs w:val="32"/>
          <w:highlight w:val="none"/>
        </w:rPr>
        <w:t>点</w:t>
      </w:r>
      <w:r>
        <w:rPr>
          <w:rFonts w:hint="eastAsia" w:ascii="仿宋_GB2312" w:hAnsi="宋体" w:eastAsia="仿宋_GB2312" w:cs="宋体"/>
          <w:color w:val="auto"/>
          <w:kern w:val="0"/>
          <w:sz w:val="32"/>
          <w:szCs w:val="32"/>
          <w:highlight w:val="none"/>
        </w:rPr>
        <w:t>负责人实行网点各项业务综合考评，内设部门人员与全行平均绩效挂钩，基本形成了以价值创造为导向和核心的绩效薪酬考核体系，激励干部员工在有效防范风险的前提下加快业务发展。2</w:t>
      </w:r>
      <w:r>
        <w:rPr>
          <w:rFonts w:ascii="仿宋_GB2312" w:hAnsi="宋体" w:eastAsia="仿宋_GB2312" w:cs="宋体"/>
          <w:color w:val="auto"/>
          <w:kern w:val="0"/>
          <w:sz w:val="32"/>
          <w:szCs w:val="32"/>
          <w:highlight w:val="none"/>
        </w:rPr>
        <w:t>022</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，本行董事薪酬256万元</w:t>
      </w:r>
      <w:r>
        <w:rPr>
          <w:rFonts w:hint="eastAsia" w:ascii="仿宋_GB2312" w:hAnsi="宋体" w:eastAsia="仿宋_GB2312" w:cs="宋体"/>
          <w:color w:val="auto"/>
          <w:kern w:val="0"/>
          <w:sz w:val="32"/>
          <w:szCs w:val="32"/>
          <w:highlight w:val="none"/>
        </w:rPr>
        <w:t>，</w:t>
      </w:r>
      <w:r>
        <w:rPr>
          <w:rFonts w:ascii="仿宋_GB2312" w:hAnsi="宋体" w:eastAsia="仿宋_GB2312" w:cs="宋体"/>
          <w:color w:val="auto"/>
          <w:kern w:val="0"/>
          <w:sz w:val="32"/>
          <w:szCs w:val="32"/>
          <w:highlight w:val="none"/>
        </w:rPr>
        <w:t>监事薪酬144万元，</w:t>
      </w:r>
      <w:r>
        <w:rPr>
          <w:rFonts w:hint="eastAsia" w:ascii="仿宋_GB2312" w:hAnsi="宋体" w:eastAsia="仿宋_GB2312" w:cs="宋体"/>
          <w:color w:val="auto"/>
          <w:kern w:val="0"/>
          <w:sz w:val="32"/>
          <w:szCs w:val="32"/>
          <w:highlight w:val="none"/>
        </w:rPr>
        <w:t>高</w:t>
      </w:r>
      <w:r>
        <w:rPr>
          <w:rFonts w:ascii="仿宋_GB2312" w:hAnsi="宋体" w:eastAsia="仿宋_GB2312" w:cs="宋体"/>
          <w:color w:val="auto"/>
          <w:kern w:val="0"/>
          <w:sz w:val="32"/>
          <w:szCs w:val="32"/>
          <w:highlight w:val="none"/>
        </w:rPr>
        <w:t>级管理人员薪酬418万元</w:t>
      </w:r>
      <w:r>
        <w:rPr>
          <w:rFonts w:hint="eastAsia" w:ascii="仿宋_GB2312" w:hAnsi="宋体" w:eastAsia="仿宋_GB2312" w:cs="宋体"/>
          <w:color w:val="auto"/>
          <w:kern w:val="0"/>
          <w:sz w:val="32"/>
          <w:szCs w:val="32"/>
          <w:highlight w:val="none"/>
        </w:rPr>
        <w:t>。</w:t>
      </w:r>
    </w:p>
    <w:p>
      <w:pPr>
        <w:widowControl/>
        <w:shd w:val="clear" w:color="auto" w:fill="FFFFFF"/>
        <w:spacing w:line="4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十、重要事项</w:t>
      </w:r>
    </w:p>
    <w:p>
      <w:pPr>
        <w:spacing w:line="480" w:lineRule="exact"/>
        <w:ind w:firstLine="645"/>
        <w:rPr>
          <w:rFonts w:ascii="仿宋_GB2312" w:hAnsi="宋体" w:eastAsia="仿宋_GB2312" w:cs="宋体"/>
          <w:color w:val="FF0000"/>
          <w:kern w:val="0"/>
          <w:sz w:val="32"/>
          <w:szCs w:val="32"/>
          <w:highlight w:val="none"/>
        </w:rPr>
      </w:pPr>
      <w:r>
        <w:rPr>
          <w:rFonts w:hint="eastAsia" w:ascii="仿宋_GB2312" w:hAnsi="宋体" w:eastAsia="仿宋_GB2312" w:cs="宋体"/>
          <w:color w:val="auto"/>
          <w:kern w:val="0"/>
          <w:sz w:val="32"/>
          <w:szCs w:val="32"/>
          <w:highlight w:val="none"/>
        </w:rPr>
        <w:t>（一）报告期内，注册资本增加</w:t>
      </w:r>
      <w:r>
        <w:rPr>
          <w:rFonts w:ascii="仿宋_GB2312" w:hAnsi="宋体" w:eastAsia="仿宋_GB2312" w:cs="宋体"/>
          <w:color w:val="auto"/>
          <w:kern w:val="0"/>
          <w:sz w:val="32"/>
          <w:szCs w:val="32"/>
          <w:highlight w:val="none"/>
        </w:rPr>
        <w:t>11492092</w:t>
      </w:r>
      <w:r>
        <w:rPr>
          <w:rFonts w:hint="eastAsia" w:ascii="仿宋_GB2312" w:hAnsi="宋体" w:eastAsia="仿宋_GB2312" w:cs="宋体"/>
          <w:color w:val="auto"/>
          <w:kern w:val="0"/>
          <w:sz w:val="32"/>
          <w:szCs w:val="32"/>
          <w:highlight w:val="none"/>
        </w:rPr>
        <w:t>元，变更为</w:t>
      </w:r>
      <w:r>
        <w:rPr>
          <w:rFonts w:ascii="仿宋_GB2312" w:hAnsi="宋体" w:eastAsia="仿宋_GB2312" w:cs="宋体"/>
          <w:color w:val="auto"/>
          <w:kern w:val="0"/>
          <w:sz w:val="32"/>
          <w:szCs w:val="32"/>
          <w:highlight w:val="none"/>
        </w:rPr>
        <w:t>586096690</w:t>
      </w:r>
      <w:r>
        <w:rPr>
          <w:rFonts w:hint="eastAsia" w:ascii="仿宋_GB2312" w:hAnsi="宋体" w:eastAsia="仿宋_GB2312" w:cs="宋体"/>
          <w:color w:val="auto"/>
          <w:kern w:val="0"/>
          <w:sz w:val="32"/>
          <w:szCs w:val="32"/>
          <w:highlight w:val="none"/>
        </w:rPr>
        <w:t>元。</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（二）报告期内，</w:t>
      </w:r>
      <w:r>
        <w:rPr>
          <w:rFonts w:hint="eastAsia" w:ascii="仿宋_GB2312" w:hAnsi="仿宋" w:eastAsia="仿宋_GB2312" w:cs="仿宋"/>
          <w:kern w:val="0"/>
          <w:sz w:val="32"/>
          <w:szCs w:val="32"/>
          <w:highlight w:val="none"/>
        </w:rPr>
        <w:t>因人事调整，本行</w:t>
      </w:r>
      <w:r>
        <w:rPr>
          <w:rFonts w:hint="eastAsia" w:ascii="仿宋_GB2312" w:hAnsi="仿宋" w:eastAsia="仿宋_GB2312" w:cs="仿宋"/>
          <w:kern w:val="0"/>
          <w:sz w:val="32"/>
          <w:szCs w:val="32"/>
          <w:highlight w:val="none"/>
          <w:lang w:eastAsia="zh-CN"/>
        </w:rPr>
        <w:t>行长、</w:t>
      </w:r>
      <w:r>
        <w:rPr>
          <w:rFonts w:hint="eastAsia" w:ascii="仿宋_GB2312" w:hAnsi="仿宋" w:eastAsia="仿宋_GB2312" w:cs="仿宋"/>
          <w:kern w:val="0"/>
          <w:sz w:val="32"/>
          <w:szCs w:val="32"/>
          <w:highlight w:val="none"/>
        </w:rPr>
        <w:t>部分网点负责人和部室负责人发生变更。</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三</w:t>
      </w:r>
      <w:r>
        <w:rPr>
          <w:rFonts w:hint="eastAsia" w:ascii="仿宋_GB2312" w:hAnsi="宋体" w:eastAsia="仿宋_GB2312" w:cs="宋体"/>
          <w:kern w:val="0"/>
          <w:sz w:val="32"/>
          <w:szCs w:val="32"/>
          <w:highlight w:val="none"/>
        </w:rPr>
        <w:t>）报告期内，无重大诉讼、仲裁事项；</w:t>
      </w:r>
    </w:p>
    <w:p>
      <w:pPr>
        <w:widowControl/>
        <w:shd w:val="clear" w:color="auto" w:fill="FFFFFF"/>
        <w:tabs>
          <w:tab w:val="left" w:pos="630"/>
        </w:tabs>
        <w:spacing w:line="480" w:lineRule="exact"/>
        <w:ind w:firstLine="640" w:firstLineChars="200"/>
        <w:jc w:val="left"/>
        <w:rPr>
          <w:rFonts w:ascii="宋体"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四</w:t>
      </w:r>
      <w:r>
        <w:rPr>
          <w:rFonts w:hint="eastAsia" w:ascii="仿宋_GB2312" w:hAnsi="宋体" w:eastAsia="仿宋_GB2312" w:cs="宋体"/>
          <w:kern w:val="0"/>
          <w:sz w:val="32"/>
          <w:szCs w:val="32"/>
          <w:highlight w:val="none"/>
        </w:rPr>
        <w:t>）报告期内，未发生重大案件、重大差错等情况；</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五</w:t>
      </w:r>
      <w:r>
        <w:rPr>
          <w:rFonts w:hint="eastAsia" w:ascii="仿宋_GB2312" w:hAnsi="宋体" w:eastAsia="仿宋_GB2312" w:cs="宋体"/>
          <w:kern w:val="0"/>
          <w:sz w:val="32"/>
          <w:szCs w:val="32"/>
          <w:highlight w:val="none"/>
        </w:rPr>
        <w:t>）报告期内，抵贷资产的收购、管理均符合相关的法律、法规和本行的有关规定；</w:t>
      </w:r>
    </w:p>
    <w:p>
      <w:pPr>
        <w:widowControl/>
        <w:shd w:val="clear" w:color="auto" w:fill="FFFFFF"/>
        <w:tabs>
          <w:tab w:val="left" w:pos="630"/>
        </w:tabs>
        <w:spacing w:line="480" w:lineRule="exact"/>
        <w:ind w:firstLine="640" w:firstLineChars="200"/>
        <w:jc w:val="left"/>
        <w:rPr>
          <w:rFonts w:hint="eastAsia" w:ascii="仿宋_GB2312" w:hAnsi="仿宋" w:eastAsia="仿宋_GB2312"/>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eastAsia="zh-CN"/>
        </w:rPr>
        <w:t>六</w:t>
      </w:r>
      <w:r>
        <w:rPr>
          <w:rFonts w:hint="eastAsia" w:ascii="仿宋_GB2312" w:hAnsi="仿宋" w:eastAsia="仿宋_GB2312" w:cs="宋体"/>
          <w:kern w:val="0"/>
          <w:sz w:val="32"/>
          <w:szCs w:val="32"/>
          <w:highlight w:val="none"/>
        </w:rPr>
        <w:t>）报告期内本行各项业务合同履行情况正常，无重大合同纠纷发生。</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七</w:t>
      </w:r>
      <w:r>
        <w:rPr>
          <w:rFonts w:hint="eastAsia" w:ascii="仿宋_GB2312" w:hAnsi="宋体" w:eastAsia="仿宋_GB2312" w:cs="宋体"/>
          <w:kern w:val="0"/>
          <w:sz w:val="32"/>
          <w:szCs w:val="32"/>
          <w:highlight w:val="none"/>
        </w:rPr>
        <w:t>）报告期内，本行董事、监事未受到监管部门和司法部门处罚。</w:t>
      </w:r>
    </w:p>
    <w:p>
      <w:pPr>
        <w:widowControl/>
        <w:shd w:val="clear" w:color="auto" w:fill="FFFFFF"/>
        <w:tabs>
          <w:tab w:val="left" w:pos="630"/>
        </w:tabs>
        <w:spacing w:line="480" w:lineRule="exact"/>
        <w:ind w:firstLine="640" w:firstLineChars="200"/>
        <w:jc w:val="left"/>
        <w:rPr>
          <w:rFonts w:ascii="宋体" w:cs="宋体"/>
          <w:kern w:val="0"/>
          <w:sz w:val="32"/>
          <w:szCs w:val="32"/>
          <w:highlight w:val="none"/>
        </w:rPr>
      </w:pPr>
      <w:r>
        <w:rPr>
          <w:rFonts w:hint="eastAsia" w:ascii="仿宋_GB2312" w:hAnsi="宋体" w:eastAsia="仿宋_GB2312" w:cs="宋体"/>
          <w:kern w:val="0"/>
          <w:sz w:val="32"/>
          <w:szCs w:val="32"/>
          <w:highlight w:val="none"/>
        </w:rPr>
        <w:t>除上述事项外，截至</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ascii="仿宋_GB2312" w:hAnsi="宋体" w:eastAsia="仿宋_GB2312" w:cs="宋体"/>
          <w:kern w:val="0"/>
          <w:sz w:val="32"/>
          <w:szCs w:val="32"/>
          <w:highlight w:val="none"/>
        </w:rPr>
        <w:t>12</w:t>
      </w:r>
      <w:r>
        <w:rPr>
          <w:rFonts w:hint="eastAsia" w:ascii="仿宋_GB2312" w:hAnsi="宋体" w:eastAsia="仿宋_GB2312" w:cs="宋体"/>
          <w:kern w:val="0"/>
          <w:sz w:val="32"/>
          <w:szCs w:val="32"/>
          <w:highlight w:val="none"/>
        </w:rPr>
        <w:t>月</w:t>
      </w:r>
      <w:r>
        <w:rPr>
          <w:rFonts w:ascii="仿宋_GB2312" w:hAnsi="宋体" w:eastAsia="仿宋_GB2312" w:cs="宋体"/>
          <w:kern w:val="0"/>
          <w:sz w:val="32"/>
          <w:szCs w:val="32"/>
          <w:highlight w:val="none"/>
        </w:rPr>
        <w:t>31</w:t>
      </w:r>
      <w:r>
        <w:rPr>
          <w:rFonts w:hint="eastAsia" w:ascii="仿宋_GB2312" w:hAnsi="宋体" w:eastAsia="仿宋_GB2312" w:cs="宋体"/>
          <w:kern w:val="0"/>
          <w:sz w:val="32"/>
          <w:szCs w:val="32"/>
          <w:highlight w:val="none"/>
        </w:rPr>
        <w:t>日，本行无需要披露的其他重要事项。</w:t>
      </w:r>
    </w:p>
    <w:p>
      <w:pPr>
        <w:widowControl/>
        <w:shd w:val="clear" w:color="auto" w:fill="FFFFFF"/>
        <w:spacing w:line="480" w:lineRule="exact"/>
        <w:ind w:firstLine="640" w:firstLineChars="200"/>
        <w:jc w:val="left"/>
        <w:rPr>
          <w:rFonts w:hint="default" w:ascii="宋体" w:eastAsia="黑体" w:cs="宋体"/>
          <w:color w:val="FF0000"/>
          <w:kern w:val="0"/>
          <w:sz w:val="32"/>
          <w:szCs w:val="32"/>
          <w:lang w:val="en-US" w:eastAsia="zh-CN"/>
        </w:rPr>
      </w:pPr>
      <w:r>
        <w:rPr>
          <w:rFonts w:hint="eastAsia" w:ascii="黑体" w:hAnsi="宋体" w:eastAsia="黑体" w:cs="宋体"/>
          <w:kern w:val="0"/>
          <w:sz w:val="32"/>
          <w:szCs w:val="32"/>
        </w:rPr>
        <w:t>十一、审计报告</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yellow"/>
        </w:rPr>
      </w:pPr>
      <w:r>
        <w:rPr>
          <w:rFonts w:hint="eastAsia" w:ascii="仿宋_GB2312" w:hAnsi="宋体" w:eastAsia="仿宋_GB2312" w:cs="宋体"/>
          <w:color w:val="auto"/>
          <w:kern w:val="0"/>
          <w:sz w:val="32"/>
          <w:szCs w:val="32"/>
          <w:highlight w:val="none"/>
        </w:rPr>
        <w:t>本行</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年度财务报告由江西</w:t>
      </w:r>
      <w:r>
        <w:rPr>
          <w:rFonts w:hint="eastAsia" w:ascii="仿宋_GB2312" w:hAnsi="宋体" w:eastAsia="仿宋_GB2312" w:cs="宋体"/>
          <w:color w:val="auto"/>
          <w:kern w:val="0"/>
          <w:sz w:val="32"/>
          <w:szCs w:val="32"/>
          <w:highlight w:val="none"/>
          <w:lang w:val="en-US" w:eastAsia="zh-CN"/>
        </w:rPr>
        <w:t>惠普</w:t>
      </w:r>
      <w:r>
        <w:rPr>
          <w:rFonts w:hint="eastAsia" w:ascii="仿宋_GB2312" w:hAnsi="宋体" w:eastAsia="仿宋_GB2312" w:cs="宋体"/>
          <w:color w:val="auto"/>
          <w:kern w:val="0"/>
          <w:sz w:val="32"/>
          <w:szCs w:val="32"/>
          <w:highlight w:val="none"/>
        </w:rPr>
        <w:t>会计师事务所有限责任公司按中国注册会计师审计准则的规定执行了审计工作，注册会计师</w:t>
      </w:r>
      <w:r>
        <w:rPr>
          <w:rFonts w:hint="eastAsia" w:ascii="仿宋_GB2312" w:hAnsi="宋体" w:eastAsia="仿宋_GB2312" w:cs="宋体"/>
          <w:color w:val="auto"/>
          <w:kern w:val="0"/>
          <w:sz w:val="32"/>
          <w:szCs w:val="32"/>
          <w:highlight w:val="none"/>
          <w:lang w:val="en-US" w:eastAsia="zh-CN"/>
        </w:rPr>
        <w:t>胡琳</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唐岚岚</w:t>
      </w:r>
      <w:r>
        <w:rPr>
          <w:rFonts w:hint="eastAsia" w:ascii="仿宋_GB2312" w:hAnsi="宋体" w:eastAsia="仿宋_GB2312" w:cs="宋体"/>
          <w:color w:val="auto"/>
          <w:kern w:val="0"/>
          <w:sz w:val="32"/>
          <w:szCs w:val="32"/>
          <w:highlight w:val="none"/>
        </w:rPr>
        <w:t>出具了标准无保留意见的审计报告书（见附件）。</w:t>
      </w:r>
    </w:p>
    <w:p>
      <w:pPr>
        <w:spacing w:line="480" w:lineRule="exact"/>
        <w:rPr>
          <w:sz w:val="32"/>
          <w:szCs w:val="32"/>
        </w:rPr>
      </w:pPr>
    </w:p>
    <w:p>
      <w:pPr>
        <w:rPr>
          <w:sz w:val="32"/>
          <w:szCs w:val="32"/>
        </w:rPr>
      </w:pPr>
    </w:p>
    <w:p/>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B6D48"/>
    <w:multiLevelType w:val="singleLevel"/>
    <w:tmpl w:val="B91B6D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C6B78"/>
    <w:rsid w:val="206935CA"/>
    <w:rsid w:val="657C6B78"/>
    <w:rsid w:val="7488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匿名用户</dc:creator>
  <cp:lastModifiedBy>匿名用户</cp:lastModifiedBy>
  <dcterms:modified xsi:type="dcterms:W3CDTF">2023-06-28T07:25:45Z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