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color w:val="auto"/>
          <w:sz w:val="44"/>
          <w:szCs w:val="44"/>
          <w:highlight w:val="none"/>
          <w:shd w:val="clear" w:color="auto" w:fill="auto"/>
        </w:rPr>
        <w:t>奉新农商银行</w:t>
      </w:r>
      <w:r>
        <w:rPr>
          <w:rFonts w:ascii="黑体" w:hAnsi="黑体" w:eastAsia="黑体"/>
          <w:color w:val="auto"/>
          <w:sz w:val="44"/>
          <w:szCs w:val="44"/>
          <w:highlight w:val="none"/>
          <w:shd w:val="clear" w:color="auto" w:fill="auto"/>
        </w:rPr>
        <w:t>20</w:t>
      </w:r>
      <w:r>
        <w:rPr>
          <w:rFonts w:hint="eastAsia" w:ascii="黑体" w:hAnsi="黑体" w:eastAsia="黑体"/>
          <w:color w:val="auto"/>
          <w:sz w:val="44"/>
          <w:szCs w:val="44"/>
          <w:highlight w:val="none"/>
          <w:shd w:val="clear" w:color="auto" w:fill="auto"/>
        </w:rPr>
        <w:t>2</w:t>
      </w:r>
      <w:r>
        <w:rPr>
          <w:rFonts w:hint="eastAsia" w:ascii="黑体" w:hAnsi="黑体" w:eastAsia="黑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黑体" w:hAnsi="黑体" w:eastAsia="黑体"/>
          <w:color w:val="auto"/>
          <w:sz w:val="44"/>
          <w:szCs w:val="44"/>
          <w:highlight w:val="none"/>
          <w:shd w:val="clear" w:color="auto" w:fill="auto"/>
        </w:rPr>
        <w:t>年</w:t>
      </w:r>
      <w:r>
        <w:rPr>
          <w:rFonts w:hint="eastAsia" w:ascii="黑体" w:hAnsi="黑体" w:eastAsia="黑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三季度重要指标</w:t>
      </w:r>
    </w:p>
    <w:p>
      <w:pPr>
        <w:spacing w:line="520" w:lineRule="exact"/>
        <w:jc w:val="center"/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color w:val="auto"/>
          <w:sz w:val="44"/>
          <w:szCs w:val="44"/>
          <w:highlight w:val="none"/>
          <w:shd w:val="clear" w:color="auto" w:fill="auto"/>
        </w:rPr>
        <w:t>信息披露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" w:leftChars="100" w:right="0" w:rightChars="0" w:firstLine="0" w:firstLineChars="0"/>
        <w:jc w:val="both"/>
        <w:textAlignment w:val="auto"/>
        <w:outlineLvl w:val="9"/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  <w:lang w:val="en-US" w:eastAsia="zh-CN"/>
        </w:rPr>
        <w:t>一、2023年三季度</w:t>
      </w:r>
      <w:r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  <w:t>主要利润指标情况</w:t>
      </w:r>
    </w:p>
    <w:p>
      <w:pPr>
        <w:widowControl/>
        <w:shd w:val="clear" w:color="auto" w:fill="FFFFFF"/>
        <w:spacing w:line="520" w:lineRule="exact"/>
        <w:ind w:right="150" w:firstLine="600" w:firstLineChars="200"/>
        <w:jc w:val="right"/>
        <w:rPr>
          <w:rFonts w:ascii="仿宋_GB2312" w:hAnsi="仿宋" w:eastAsia="仿宋_GB2312" w:cs="宋体"/>
          <w:color w:val="auto"/>
          <w:kern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highlight w:val="none"/>
          <w:shd w:val="clear" w:color="auto" w:fill="auto"/>
        </w:rPr>
        <w:t>单位：人民币万元</w:t>
      </w:r>
    </w:p>
    <w:tbl>
      <w:tblPr>
        <w:tblStyle w:val="4"/>
        <w:tblW w:w="84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40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项目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02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三季度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利润总额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5221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净利润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4371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投资收益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营业利润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5387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营业外收支净额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-166</w:t>
            </w:r>
          </w:p>
        </w:tc>
      </w:tr>
    </w:tbl>
    <w:p>
      <w:pPr>
        <w:widowControl/>
        <w:shd w:val="clear" w:color="auto" w:fill="FFFFFF"/>
        <w:tabs>
          <w:tab w:val="left" w:pos="630"/>
        </w:tabs>
        <w:spacing w:line="520" w:lineRule="exact"/>
        <w:ind w:left="6348" w:leftChars="374" w:hanging="5563" w:hangingChars="1847"/>
        <w:jc w:val="left"/>
        <w:rPr>
          <w:rFonts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</w:pPr>
    </w:p>
    <w:p>
      <w:pPr>
        <w:widowControl/>
        <w:shd w:val="clear" w:color="auto" w:fill="FFFFFF"/>
        <w:tabs>
          <w:tab w:val="left" w:pos="630"/>
        </w:tabs>
        <w:spacing w:line="520" w:lineRule="exact"/>
        <w:jc w:val="left"/>
        <w:rPr>
          <w:rFonts w:ascii="仿宋_GB2312" w:hAnsi="仿宋" w:eastAsia="仿宋_GB2312" w:cs="宋体"/>
          <w:color w:val="auto"/>
          <w:kern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  <w:lang w:val="en-US" w:eastAsia="zh-CN"/>
        </w:rPr>
        <w:t>二、2023年三季度</w:t>
      </w:r>
      <w:r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  <w:t>主要会计财务数据和财务指标</w:t>
      </w:r>
    </w:p>
    <w:p>
      <w:pPr>
        <w:widowControl/>
        <w:shd w:val="clear" w:color="auto" w:fill="FFFFFF"/>
        <w:tabs>
          <w:tab w:val="left" w:pos="630"/>
        </w:tabs>
        <w:spacing w:line="520" w:lineRule="exact"/>
        <w:ind w:left="4565" w:leftChars="2174" w:firstLine="750" w:firstLineChars="250"/>
        <w:jc w:val="left"/>
        <w:rPr>
          <w:rFonts w:ascii="仿宋_GB2312" w:hAnsi="仿宋" w:eastAsia="仿宋_GB2312" w:cs="宋体"/>
          <w:color w:val="auto"/>
          <w:kern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highlight w:val="none"/>
          <w:shd w:val="clear" w:color="auto" w:fill="auto"/>
        </w:rPr>
        <w:t>单位：人民币万元</w:t>
      </w:r>
    </w:p>
    <w:tbl>
      <w:tblPr>
        <w:tblStyle w:val="4"/>
        <w:tblW w:w="8545" w:type="dxa"/>
        <w:jc w:val="center"/>
        <w:tblInd w:w="-7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5"/>
        <w:gridCol w:w="4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项目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02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三季度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bookmarkStart w:id="0" w:name="_GoBack" w:colFirst="1" w:colLast="1"/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营业收入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39103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总资产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1082043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存款余额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926206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贷款余额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755340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所有者权益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80250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每股收益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(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元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/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股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)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净资产收益率</w:t>
            </w:r>
          </w:p>
        </w:tc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7.25</w:t>
            </w:r>
          </w:p>
        </w:tc>
      </w:tr>
      <w:bookmarkEnd w:id="0"/>
    </w:tbl>
    <w:p>
      <w:pPr>
        <w:widowControl/>
        <w:shd w:val="clear" w:color="auto" w:fill="FFFFFF"/>
        <w:tabs>
          <w:tab w:val="left" w:pos="630"/>
        </w:tabs>
        <w:spacing w:line="520" w:lineRule="exact"/>
        <w:ind w:firstLine="741" w:firstLineChars="246"/>
        <w:jc w:val="left"/>
        <w:rPr>
          <w:rFonts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</w:pPr>
    </w:p>
    <w:p>
      <w:pPr>
        <w:widowControl/>
        <w:shd w:val="clear" w:color="auto" w:fill="FFFFFF"/>
        <w:tabs>
          <w:tab w:val="left" w:pos="630"/>
        </w:tabs>
        <w:spacing w:line="520" w:lineRule="exact"/>
        <w:jc w:val="left"/>
        <w:rPr>
          <w:rFonts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  <w:lang w:val="en-US" w:eastAsia="zh-CN"/>
        </w:rPr>
        <w:t>三、2023年三季度</w:t>
      </w:r>
      <w:r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  <w:t>资本构成及其变化情况</w:t>
      </w:r>
    </w:p>
    <w:p>
      <w:pPr>
        <w:widowControl/>
        <w:shd w:val="clear" w:color="auto" w:fill="FFFFFF"/>
        <w:tabs>
          <w:tab w:val="left" w:pos="630"/>
        </w:tabs>
        <w:spacing w:line="520" w:lineRule="exact"/>
        <w:jc w:val="right"/>
        <w:rPr>
          <w:rFonts w:ascii="仿宋_GB2312" w:hAnsi="仿宋" w:eastAsia="仿宋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highlight w:val="none"/>
          <w:shd w:val="clear" w:color="auto" w:fill="auto"/>
        </w:rPr>
        <w:t>单位：人民币万元</w:t>
      </w:r>
    </w:p>
    <w:tbl>
      <w:tblPr>
        <w:tblStyle w:val="4"/>
        <w:tblW w:w="83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9"/>
        <w:gridCol w:w="37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项目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余额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核心一级资本净额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79935.22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2.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一级资本净额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79935.22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3.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资本净额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87667.54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4.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信用风险加权资产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626317.74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其中：表内风险加权资产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624126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900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表外风险加权资产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ahoma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30"/>
                <w:szCs w:val="30"/>
                <w:highlight w:val="none"/>
                <w:shd w:val="clear" w:color="auto" w:fill="auto"/>
              </w:rPr>
              <w:t>2191.74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5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．市场风险加权资产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．操作风险加权资产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58175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7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．风险加权资产合计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684492.74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．核心一级资本充足率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11.68%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．一级资本充足率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11.68%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10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．资本充足率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12.81%</w:t>
            </w:r>
          </w:p>
        </w:tc>
      </w:tr>
    </w:tbl>
    <w:p>
      <w:pPr>
        <w:widowControl/>
        <w:shd w:val="clear" w:color="auto" w:fill="FFFFFF"/>
        <w:tabs>
          <w:tab w:val="left" w:pos="630"/>
        </w:tabs>
        <w:spacing w:line="520" w:lineRule="exact"/>
        <w:ind w:firstLine="602" w:firstLineChars="200"/>
        <w:jc w:val="left"/>
        <w:rPr>
          <w:rFonts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</w:pPr>
    </w:p>
    <w:p>
      <w:pPr>
        <w:widowControl/>
        <w:shd w:val="clear" w:color="auto" w:fill="FFFFFF"/>
        <w:tabs>
          <w:tab w:val="left" w:pos="630"/>
        </w:tabs>
        <w:spacing w:line="520" w:lineRule="exact"/>
        <w:jc w:val="left"/>
        <w:rPr>
          <w:rFonts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  <w:lang w:val="en-US" w:eastAsia="zh-CN"/>
        </w:rPr>
        <w:t>四、2023年三季度</w:t>
      </w:r>
      <w:r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  <w:t>主要监管指标情况</w:t>
      </w:r>
    </w:p>
    <w:p>
      <w:pPr>
        <w:widowControl/>
        <w:shd w:val="clear" w:color="auto" w:fill="FFFFFF"/>
        <w:tabs>
          <w:tab w:val="left" w:pos="630"/>
        </w:tabs>
        <w:spacing w:line="520" w:lineRule="exact"/>
        <w:ind w:left="6105" w:leftChars="2907" w:firstLine="450" w:firstLineChars="150"/>
        <w:jc w:val="left"/>
        <w:rPr>
          <w:rFonts w:ascii="仿宋_GB2312" w:hAnsi="仿宋" w:eastAsia="仿宋_GB2312" w:cs="宋体"/>
          <w:color w:val="auto"/>
          <w:kern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highlight w:val="none"/>
          <w:shd w:val="clear" w:color="auto" w:fill="auto"/>
        </w:rPr>
        <w:t>单位：</w:t>
      </w:r>
      <w:r>
        <w:rPr>
          <w:rFonts w:ascii="仿宋_GB2312" w:hAnsi="仿宋" w:eastAsia="仿宋_GB2312" w:cs="宋体"/>
          <w:color w:val="auto"/>
          <w:kern w:val="0"/>
          <w:sz w:val="30"/>
          <w:szCs w:val="30"/>
          <w:highlight w:val="none"/>
          <w:shd w:val="clear" w:color="auto" w:fill="auto"/>
        </w:rPr>
        <w:t xml:space="preserve"> %</w:t>
      </w:r>
    </w:p>
    <w:tbl>
      <w:tblPr>
        <w:tblStyle w:val="4"/>
        <w:tblW w:w="8600" w:type="dxa"/>
        <w:jc w:val="center"/>
        <w:tblInd w:w="1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3"/>
        <w:gridCol w:w="2590"/>
        <w:gridCol w:w="24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项目</w:t>
            </w: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02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三季度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监管要求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资本充足率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1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2.81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&gt;=10.5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流动性比例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56.68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900" w:firstLineChars="300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&gt;=25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不良贷款率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1.80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&lt;=5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拨备覆盖率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307.50</w:t>
            </w:r>
          </w:p>
        </w:tc>
        <w:tc>
          <w:tcPr>
            <w:tcW w:w="2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&gt;=1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成本收入比率</w:t>
            </w: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25.32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&lt;=35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杠杆率</w:t>
            </w: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7.37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750" w:firstLineChars="250"/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&gt;=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</w:tr>
    </w:tbl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E3816"/>
    <w:rsid w:val="009F5C24"/>
    <w:rsid w:val="03281B95"/>
    <w:rsid w:val="06840FF1"/>
    <w:rsid w:val="094E71CC"/>
    <w:rsid w:val="10B543F7"/>
    <w:rsid w:val="346E061B"/>
    <w:rsid w:val="47FE4CF7"/>
    <w:rsid w:val="583E3816"/>
    <w:rsid w:val="58F94099"/>
    <w:rsid w:val="6E384199"/>
    <w:rsid w:val="78F443F9"/>
    <w:rsid w:val="7DBF7E38"/>
    <w:rsid w:val="7F34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640" w:lineRule="exact"/>
      <w:jc w:val="center"/>
    </w:pPr>
    <w:rPr>
      <w:rFonts w:ascii="Times New Roman" w:hAnsi="Times New Roman" w:eastAsia="方正小标宋简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2022-11-08T01:54:00Z</dcterms:created>
  <dc:creator>匿名用户</dc:creator>
  <cp:lastModifiedBy>匿名用户</cp:lastModifiedBy>
  <dcterms:modified xsi:type="dcterms:W3CDTF">2023-11-07T02:05:49Z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