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百福·早虾贷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32"/>
          <w:lang w:val="en-US" w:eastAsia="zh-CN"/>
        </w:rPr>
        <w:t>产品简介：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为支持大余县早虾特色养殖产业发展，满足养殖户生产经营资金需求的贷款。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32"/>
          <w:lang w:val="en-US" w:eastAsia="zh-CN"/>
        </w:rPr>
        <w:t>服务对象：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在本行向辖区内从事早虾或虾稻的养殖户、新型农业经营主体、小微农业企业等；以及早虾批发商、餐饮采购商、其他符合条件的早虾产业链经营主体等。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32"/>
          <w:lang w:val="en-US" w:eastAsia="zh-CN"/>
        </w:rPr>
        <w:t>业务特点：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1.担保方式：“百福·早虾贷</w:t>
      </w:r>
      <w:r>
        <w:rPr>
          <w:rFonts w:hint="default" w:ascii="仿宋_GB2312" w:hAnsi="仿宋_GB2312" w:eastAsia="仿宋_GB2312" w:cs="仿宋_GB2312"/>
          <w:sz w:val="24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为纯信用贷款；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2.贷款额度：信用类最高授信额度控制在100万元（含）以内，保证抵押类最高授信额度控制在500万元以内。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3.贷款期限：贷款期限由大余农商银行根据借款人贷款金额、经营周期和还款能力等实际情况合理确定，原则上最长不超过5年（含）。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4.贷款利率：不低于LPR利率执行。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5.结息方式：按月还息，到期还本。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outlineLvl w:val="9"/>
        <w:rPr>
          <w:rFonts w:hint="default" w:ascii="仿宋_GB2312" w:hAnsi="仿宋_GB2312" w:eastAsia="仿宋_GB2312" w:cs="仿宋_GB2312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040" w:firstLineChars="2100"/>
        <w:textAlignment w:val="auto"/>
        <w:outlineLvl w:val="9"/>
        <w:rPr>
          <w:rFonts w:hint="default" w:ascii="仿宋_GB2312" w:hAnsi="仿宋_GB2312" w:eastAsia="仿宋_GB2312" w:cs="仿宋_GB2312"/>
          <w:sz w:val="24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发布日期：2026年3月26日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165C6"/>
    <w:rsid w:val="06090CE8"/>
    <w:rsid w:val="28937D90"/>
    <w:rsid w:val="342F7EB9"/>
    <w:rsid w:val="3A6D55CB"/>
    <w:rsid w:val="47C51B3C"/>
    <w:rsid w:val="4EE4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Office_10.8.2.7030_F1E327BC-269C-435d-A152-05C5408002CA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2026-04-16T01:14:51Z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2052-10.8.2.7030</vt:lpwstr>
  </property>
</Properties>
</file>