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6" w:line="179" w:lineRule="auto"/>
        <w:ind w:left="916"/>
        <w:outlineLvl w:val="0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江西</w:t>
      </w: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  <w:lang w:val="en-US" w:eastAsia="zh-CN"/>
        </w:rPr>
        <w:t>崇义</w:t>
      </w: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农村商业银行股份有限公司</w:t>
      </w:r>
    </w:p>
    <w:p>
      <w:pPr>
        <w:spacing w:before="147" w:line="179" w:lineRule="auto"/>
        <w:ind w:left="2118"/>
        <w:outlineLvl w:val="0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1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pacing w:val="1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pacing w:val="1"/>
          <w:sz w:val="44"/>
          <w:szCs w:val="44"/>
        </w:rPr>
        <w:t>年财务情况说明书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1" w:firstLine="656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江西</w:t>
      </w:r>
      <w:r>
        <w:rPr>
          <w:rFonts w:hint="eastAsia"/>
          <w:spacing w:val="7"/>
          <w:sz w:val="32"/>
          <w:szCs w:val="32"/>
          <w:lang w:eastAsia="zh-CN"/>
        </w:rPr>
        <w:t>崇义</w:t>
      </w:r>
      <w:r>
        <w:rPr>
          <w:spacing w:val="7"/>
          <w:sz w:val="32"/>
          <w:szCs w:val="32"/>
        </w:rPr>
        <w:t>农村商业银行股份有限公司(以下简称</w:t>
      </w:r>
      <w:r>
        <w:rPr>
          <w:rFonts w:hint="eastAsia"/>
          <w:spacing w:val="7"/>
          <w:sz w:val="32"/>
          <w:szCs w:val="32"/>
          <w:lang w:eastAsia="zh-CN"/>
        </w:rPr>
        <w:t>崇义</w:t>
      </w:r>
      <w:r>
        <w:rPr>
          <w:spacing w:val="7"/>
          <w:sz w:val="32"/>
          <w:szCs w:val="32"/>
        </w:rPr>
        <w:t>农商银</w:t>
      </w:r>
      <w:r>
        <w:rPr>
          <w:spacing w:val="2"/>
          <w:sz w:val="32"/>
          <w:szCs w:val="32"/>
        </w:rPr>
        <w:t>行)成立于2016年</w:t>
      </w:r>
      <w:r>
        <w:rPr>
          <w:spacing w:val="2"/>
          <w:sz w:val="32"/>
          <w:szCs w:val="32"/>
          <w:highlight w:val="none"/>
        </w:rPr>
        <w:t>3月3日，</w:t>
      </w:r>
      <w:r>
        <w:rPr>
          <w:spacing w:val="2"/>
          <w:sz w:val="32"/>
          <w:szCs w:val="32"/>
        </w:rPr>
        <w:t>取得统一社会信用代码</w:t>
      </w:r>
      <w:r>
        <w:rPr>
          <w:spacing w:val="-2"/>
          <w:sz w:val="32"/>
          <w:szCs w:val="32"/>
        </w:rPr>
        <w:t>91360700MA35</w:t>
      </w:r>
      <w:r>
        <w:rPr>
          <w:rFonts w:hint="eastAsia"/>
          <w:spacing w:val="-2"/>
          <w:sz w:val="32"/>
          <w:szCs w:val="32"/>
          <w:lang w:val="en-US" w:eastAsia="zh-CN"/>
        </w:rPr>
        <w:t>GMT09A</w:t>
      </w:r>
      <w:r>
        <w:rPr>
          <w:spacing w:val="-2"/>
          <w:sz w:val="32"/>
          <w:szCs w:val="32"/>
        </w:rPr>
        <w:t>《营业执照》。住所：</w:t>
      </w:r>
      <w:r>
        <w:rPr>
          <w:spacing w:val="-3"/>
          <w:sz w:val="32"/>
          <w:szCs w:val="32"/>
        </w:rPr>
        <w:t>江西省赣州市</w:t>
      </w:r>
      <w:r>
        <w:rPr>
          <w:rFonts w:hint="eastAsia"/>
          <w:spacing w:val="-3"/>
          <w:sz w:val="32"/>
          <w:szCs w:val="32"/>
          <w:lang w:eastAsia="zh-CN"/>
        </w:rPr>
        <w:t>崇义</w:t>
      </w:r>
      <w:r>
        <w:rPr>
          <w:spacing w:val="-3"/>
          <w:sz w:val="32"/>
          <w:szCs w:val="32"/>
        </w:rPr>
        <w:t>县</w:t>
      </w:r>
      <w:r>
        <w:rPr>
          <w:rFonts w:hint="eastAsia"/>
          <w:spacing w:val="-3"/>
          <w:sz w:val="32"/>
          <w:szCs w:val="32"/>
          <w:lang w:eastAsia="zh-CN"/>
        </w:rPr>
        <w:t>横水镇人民路</w:t>
      </w:r>
      <w:r>
        <w:rPr>
          <w:rFonts w:hint="eastAsia"/>
          <w:spacing w:val="-3"/>
          <w:sz w:val="32"/>
          <w:szCs w:val="32"/>
          <w:lang w:val="en-US" w:eastAsia="zh-CN"/>
        </w:rPr>
        <w:t>163</w:t>
      </w:r>
      <w:r>
        <w:rPr>
          <w:spacing w:val="4"/>
          <w:sz w:val="32"/>
          <w:szCs w:val="32"/>
        </w:rPr>
        <w:t>号；法定代表人：崔传艳</w:t>
      </w:r>
      <w:r>
        <w:rPr>
          <w:spacing w:val="3"/>
          <w:sz w:val="32"/>
          <w:szCs w:val="32"/>
        </w:rPr>
        <w:t>；注册资本：人民币</w:t>
      </w:r>
      <w:r>
        <w:rPr>
          <w:rFonts w:hint="eastAsia"/>
          <w:spacing w:val="3"/>
          <w:sz w:val="32"/>
          <w:szCs w:val="32"/>
          <w:lang w:eastAsia="zh-CN"/>
        </w:rPr>
        <w:t>壹</w:t>
      </w:r>
      <w:r>
        <w:rPr>
          <w:spacing w:val="8"/>
          <w:sz w:val="32"/>
          <w:szCs w:val="32"/>
        </w:rPr>
        <w:t>亿</w:t>
      </w:r>
      <w:r>
        <w:rPr>
          <w:rFonts w:hint="eastAsia"/>
          <w:spacing w:val="8"/>
          <w:sz w:val="32"/>
          <w:szCs w:val="32"/>
          <w:lang w:eastAsia="zh-CN"/>
        </w:rPr>
        <w:t>玖仟捌</w:t>
      </w:r>
      <w:r>
        <w:rPr>
          <w:spacing w:val="8"/>
          <w:sz w:val="32"/>
          <w:szCs w:val="32"/>
        </w:rPr>
        <w:t>佰</w:t>
      </w:r>
      <w:r>
        <w:rPr>
          <w:rFonts w:hint="eastAsia"/>
          <w:spacing w:val="8"/>
          <w:sz w:val="32"/>
          <w:szCs w:val="32"/>
          <w:lang w:eastAsia="zh-CN"/>
        </w:rPr>
        <w:t>伍</w:t>
      </w:r>
      <w:r>
        <w:rPr>
          <w:spacing w:val="8"/>
          <w:sz w:val="32"/>
          <w:szCs w:val="32"/>
        </w:rPr>
        <w:t>拾</w:t>
      </w:r>
      <w:r>
        <w:rPr>
          <w:rFonts w:hint="eastAsia"/>
          <w:spacing w:val="8"/>
          <w:sz w:val="32"/>
          <w:szCs w:val="32"/>
          <w:lang w:eastAsia="zh-CN"/>
        </w:rPr>
        <w:t>柒</w:t>
      </w:r>
      <w:r>
        <w:rPr>
          <w:spacing w:val="8"/>
          <w:sz w:val="32"/>
          <w:szCs w:val="32"/>
        </w:rPr>
        <w:t>万</w:t>
      </w:r>
      <w:r>
        <w:rPr>
          <w:rFonts w:hint="eastAsia"/>
          <w:spacing w:val="8"/>
          <w:sz w:val="32"/>
          <w:szCs w:val="32"/>
          <w:lang w:eastAsia="zh-CN"/>
        </w:rPr>
        <w:t>伍仟柒</w:t>
      </w:r>
      <w:r>
        <w:rPr>
          <w:spacing w:val="8"/>
          <w:sz w:val="32"/>
          <w:szCs w:val="32"/>
        </w:rPr>
        <w:t>佰</w:t>
      </w:r>
      <w:r>
        <w:rPr>
          <w:rFonts w:hint="eastAsia"/>
          <w:spacing w:val="8"/>
          <w:sz w:val="32"/>
          <w:szCs w:val="32"/>
          <w:lang w:eastAsia="zh-CN"/>
        </w:rPr>
        <w:t>贰</w:t>
      </w:r>
      <w:bookmarkStart w:id="0" w:name="_GoBack"/>
      <w:bookmarkEnd w:id="0"/>
      <w:r>
        <w:rPr>
          <w:spacing w:val="8"/>
          <w:sz w:val="32"/>
          <w:szCs w:val="32"/>
        </w:rPr>
        <w:t>拾</w:t>
      </w:r>
      <w:r>
        <w:rPr>
          <w:rFonts w:hint="eastAsia"/>
          <w:spacing w:val="8"/>
          <w:sz w:val="32"/>
          <w:szCs w:val="32"/>
          <w:lang w:eastAsia="zh-CN"/>
        </w:rPr>
        <w:t>陆</w:t>
      </w:r>
      <w:r>
        <w:rPr>
          <w:spacing w:val="8"/>
          <w:sz w:val="32"/>
          <w:szCs w:val="32"/>
        </w:rPr>
        <w:t>元整；经营方式：服务。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所处行业：银行。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firstLine="640"/>
        <w:jc w:val="both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经营范围：吸收公众存款；发放短期、中期和长期贷款；办</w:t>
      </w:r>
      <w:r>
        <w:rPr>
          <w:spacing w:val="-3"/>
          <w:sz w:val="32"/>
          <w:szCs w:val="32"/>
        </w:rPr>
        <w:t>理国内结算；办理票据承兑与贴现；代理收付款及代理保险业务；</w:t>
      </w:r>
      <w:r>
        <w:rPr>
          <w:spacing w:val="6"/>
          <w:sz w:val="32"/>
          <w:szCs w:val="32"/>
        </w:rPr>
        <w:t>买卖政府债券发、金融债券；从事同业拆借；办理银行卡业务；</w:t>
      </w:r>
      <w:r>
        <w:rPr>
          <w:spacing w:val="5"/>
          <w:sz w:val="32"/>
          <w:szCs w:val="32"/>
        </w:rPr>
        <w:t>代理发行、代理兑付、承销政府债券；提供保管箱服务；经</w:t>
      </w:r>
      <w:r>
        <w:rPr>
          <w:spacing w:val="4"/>
          <w:sz w:val="32"/>
          <w:szCs w:val="32"/>
        </w:rPr>
        <w:t>银行</w:t>
      </w:r>
      <w:r>
        <w:rPr>
          <w:spacing w:val="5"/>
          <w:sz w:val="32"/>
          <w:szCs w:val="32"/>
        </w:rPr>
        <w:t>业监督管理机构批准的其他业务。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二、资产负债情况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87" w:firstLine="634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202</w:t>
      </w:r>
      <w:r>
        <w:rPr>
          <w:rFonts w:hint="eastAsia"/>
          <w:spacing w:val="7"/>
          <w:sz w:val="32"/>
          <w:szCs w:val="32"/>
          <w:lang w:val="en-US" w:eastAsia="zh-CN"/>
        </w:rPr>
        <w:t>5</w:t>
      </w:r>
      <w:r>
        <w:rPr>
          <w:spacing w:val="7"/>
          <w:sz w:val="32"/>
          <w:szCs w:val="32"/>
        </w:rPr>
        <w:t>年，</w:t>
      </w:r>
      <w:r>
        <w:rPr>
          <w:rFonts w:hint="eastAsia"/>
          <w:spacing w:val="7"/>
          <w:sz w:val="32"/>
          <w:szCs w:val="32"/>
          <w:lang w:eastAsia="zh-CN"/>
        </w:rPr>
        <w:t>崇义</w:t>
      </w:r>
      <w:r>
        <w:rPr>
          <w:spacing w:val="7"/>
          <w:sz w:val="32"/>
          <w:szCs w:val="32"/>
        </w:rPr>
        <w:t>农商银行坚持以习近平新时代中国特色社会</w:t>
      </w:r>
      <w:r>
        <w:rPr>
          <w:spacing w:val="5"/>
          <w:sz w:val="32"/>
          <w:szCs w:val="32"/>
        </w:rPr>
        <w:t>主义思想为指导，在省</w:t>
      </w:r>
      <w:r>
        <w:rPr>
          <w:rFonts w:hint="eastAsia"/>
          <w:spacing w:val="5"/>
          <w:sz w:val="32"/>
          <w:szCs w:val="32"/>
          <w:lang w:eastAsia="zh-CN"/>
        </w:rPr>
        <w:t>行</w:t>
      </w:r>
      <w:r>
        <w:rPr>
          <w:spacing w:val="5"/>
          <w:sz w:val="32"/>
          <w:szCs w:val="32"/>
        </w:rPr>
        <w:t>的正确领导下，认真贯彻落实总</w:t>
      </w:r>
      <w:r>
        <w:rPr>
          <w:spacing w:val="4"/>
          <w:sz w:val="32"/>
          <w:szCs w:val="32"/>
        </w:rPr>
        <w:t>行党</w:t>
      </w:r>
      <w:r>
        <w:rPr>
          <w:spacing w:val="5"/>
          <w:sz w:val="32"/>
          <w:szCs w:val="32"/>
        </w:rPr>
        <w:t>委、董事会各项决策部署，落实财税及监管各项政策要求，</w:t>
      </w:r>
      <w:r>
        <w:rPr>
          <w:spacing w:val="4"/>
          <w:sz w:val="32"/>
          <w:szCs w:val="32"/>
        </w:rPr>
        <w:t>强化</w:t>
      </w:r>
      <w:r>
        <w:rPr>
          <w:spacing w:val="5"/>
          <w:sz w:val="32"/>
          <w:szCs w:val="32"/>
        </w:rPr>
        <w:t>预算刚性约束，合理配置财务资源，各项费用支出严格控制</w:t>
      </w:r>
      <w:r>
        <w:rPr>
          <w:spacing w:val="4"/>
          <w:sz w:val="32"/>
          <w:szCs w:val="32"/>
        </w:rPr>
        <w:t>在预</w:t>
      </w:r>
      <w:r>
        <w:rPr>
          <w:spacing w:val="-9"/>
          <w:sz w:val="32"/>
          <w:szCs w:val="32"/>
        </w:rPr>
        <w:t>算内。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textAlignment w:val="baseline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（一）资产负债情况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3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2025年</w:t>
      </w:r>
      <w:r>
        <w:rPr>
          <w:spacing w:val="4"/>
          <w:sz w:val="32"/>
          <w:szCs w:val="32"/>
        </w:rPr>
        <w:t>末，</w:t>
      </w:r>
      <w:r>
        <w:rPr>
          <w:rFonts w:hint="eastAsia"/>
          <w:spacing w:val="4"/>
          <w:sz w:val="32"/>
          <w:szCs w:val="32"/>
          <w:lang w:eastAsia="zh-CN"/>
        </w:rPr>
        <w:t>崇义</w:t>
      </w:r>
      <w:r>
        <w:rPr>
          <w:spacing w:val="4"/>
          <w:sz w:val="32"/>
          <w:szCs w:val="32"/>
        </w:rPr>
        <w:t>农商银行资产总额</w:t>
      </w:r>
      <w:r>
        <w:rPr>
          <w:rFonts w:hint="eastAsia"/>
          <w:spacing w:val="4"/>
          <w:sz w:val="32"/>
          <w:szCs w:val="32"/>
          <w:lang w:val="en-US" w:eastAsia="zh-CN"/>
        </w:rPr>
        <w:t>95.08</w:t>
      </w:r>
      <w:r>
        <w:rPr>
          <w:spacing w:val="4"/>
          <w:sz w:val="32"/>
          <w:szCs w:val="32"/>
        </w:rPr>
        <w:t>亿元，主要为现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z w:val="32"/>
          <w:szCs w:val="32"/>
        </w:rPr>
        <w:sectPr>
          <w:footerReference r:id="rId3" w:type="default"/>
          <w:pgSz w:w="11907" w:h="16839"/>
          <w:pgMar w:top="1431" w:right="1388" w:bottom="1156" w:left="1601" w:header="0" w:footer="954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"/>
        <w:jc w:val="both"/>
        <w:textAlignment w:val="baseline"/>
        <w:rPr>
          <w:sz w:val="32"/>
          <w:szCs w:val="32"/>
        </w:rPr>
      </w:pPr>
      <w:r>
        <w:rPr>
          <w:spacing w:val="2"/>
          <w:sz w:val="32"/>
          <w:szCs w:val="32"/>
        </w:rPr>
        <w:t>金及存放中央银行联行款项</w:t>
      </w:r>
      <w:r>
        <w:rPr>
          <w:rFonts w:hint="eastAsia"/>
          <w:spacing w:val="2"/>
          <w:sz w:val="32"/>
          <w:szCs w:val="32"/>
          <w:lang w:val="en-US" w:eastAsia="zh-CN"/>
        </w:rPr>
        <w:t>8.03</w:t>
      </w:r>
      <w:r>
        <w:rPr>
          <w:spacing w:val="2"/>
          <w:sz w:val="32"/>
          <w:szCs w:val="32"/>
        </w:rPr>
        <w:t>亿元，占比</w:t>
      </w:r>
      <w:r>
        <w:rPr>
          <w:rFonts w:hint="eastAsia"/>
          <w:spacing w:val="1"/>
          <w:sz w:val="32"/>
          <w:szCs w:val="32"/>
          <w:lang w:val="en-US" w:eastAsia="zh-CN"/>
        </w:rPr>
        <w:t>8.45</w:t>
      </w:r>
      <w:r>
        <w:rPr>
          <w:spacing w:val="1"/>
          <w:sz w:val="32"/>
          <w:szCs w:val="32"/>
        </w:rPr>
        <w:t>%；发放贷款</w:t>
      </w:r>
      <w:r>
        <w:rPr>
          <w:rFonts w:hint="eastAsia"/>
          <w:spacing w:val="-4"/>
          <w:sz w:val="32"/>
          <w:szCs w:val="32"/>
          <w:lang w:val="en-US" w:eastAsia="zh-CN"/>
        </w:rPr>
        <w:t>60.14</w:t>
      </w:r>
      <w:r>
        <w:rPr>
          <w:spacing w:val="-4"/>
          <w:sz w:val="32"/>
          <w:szCs w:val="32"/>
        </w:rPr>
        <w:t>亿元，占比</w:t>
      </w:r>
      <w:r>
        <w:rPr>
          <w:rFonts w:hint="eastAsia"/>
          <w:spacing w:val="-4"/>
          <w:sz w:val="32"/>
          <w:szCs w:val="32"/>
          <w:lang w:val="en-US" w:eastAsia="zh-CN"/>
        </w:rPr>
        <w:t>63.25%</w:t>
      </w:r>
      <w:r>
        <w:rPr>
          <w:spacing w:val="-4"/>
          <w:sz w:val="32"/>
          <w:szCs w:val="32"/>
        </w:rPr>
        <w:t>；债权投资</w:t>
      </w:r>
      <w:r>
        <w:rPr>
          <w:rFonts w:hint="eastAsia"/>
          <w:spacing w:val="-4"/>
          <w:sz w:val="32"/>
          <w:szCs w:val="32"/>
          <w:lang w:val="en-US" w:eastAsia="zh-CN"/>
        </w:rPr>
        <w:t>20.9</w:t>
      </w:r>
      <w:r>
        <w:rPr>
          <w:spacing w:val="-4"/>
          <w:sz w:val="32"/>
          <w:szCs w:val="32"/>
        </w:rPr>
        <w:t>亿元，占比</w:t>
      </w:r>
      <w:r>
        <w:rPr>
          <w:rFonts w:hint="eastAsia"/>
          <w:spacing w:val="-4"/>
          <w:sz w:val="32"/>
          <w:szCs w:val="32"/>
          <w:lang w:val="en-US" w:eastAsia="zh-CN"/>
        </w:rPr>
        <w:t>21.98</w:t>
      </w:r>
      <w:r>
        <w:rPr>
          <w:spacing w:val="-4"/>
          <w:sz w:val="32"/>
          <w:szCs w:val="32"/>
        </w:rPr>
        <w:t>%；</w:t>
      </w:r>
      <w:r>
        <w:rPr>
          <w:spacing w:val="3"/>
          <w:sz w:val="32"/>
          <w:szCs w:val="32"/>
        </w:rPr>
        <w:t>固定资产、无形资产等其他资产</w:t>
      </w:r>
      <w:r>
        <w:rPr>
          <w:rFonts w:hint="eastAsia"/>
          <w:spacing w:val="3"/>
          <w:sz w:val="32"/>
          <w:szCs w:val="32"/>
          <w:lang w:val="en-US" w:eastAsia="zh-CN"/>
        </w:rPr>
        <w:t>6.01</w:t>
      </w:r>
      <w:r>
        <w:rPr>
          <w:spacing w:val="3"/>
          <w:sz w:val="32"/>
          <w:szCs w:val="32"/>
        </w:rPr>
        <w:t>亿元，占比</w:t>
      </w:r>
      <w:r>
        <w:rPr>
          <w:rFonts w:hint="eastAsia"/>
          <w:spacing w:val="3"/>
          <w:sz w:val="32"/>
          <w:szCs w:val="32"/>
          <w:lang w:val="en-US" w:eastAsia="zh-CN"/>
        </w:rPr>
        <w:t>6.32%。</w:t>
      </w:r>
      <w:r>
        <w:rPr>
          <w:spacing w:val="3"/>
          <w:sz w:val="32"/>
          <w:szCs w:val="32"/>
        </w:rPr>
        <w:t>负</w:t>
      </w:r>
      <w:r>
        <w:rPr>
          <w:spacing w:val="2"/>
          <w:sz w:val="32"/>
          <w:szCs w:val="32"/>
        </w:rPr>
        <w:t>债总</w:t>
      </w:r>
      <w:r>
        <w:rPr>
          <w:spacing w:val="-1"/>
          <w:sz w:val="32"/>
          <w:szCs w:val="32"/>
        </w:rPr>
        <w:t>额</w:t>
      </w:r>
      <w:r>
        <w:rPr>
          <w:rFonts w:hint="eastAsia"/>
          <w:spacing w:val="-1"/>
          <w:sz w:val="32"/>
          <w:szCs w:val="32"/>
          <w:lang w:val="en-US" w:eastAsia="zh-CN"/>
        </w:rPr>
        <w:t>86.86</w:t>
      </w:r>
      <w:r>
        <w:rPr>
          <w:spacing w:val="-1"/>
          <w:sz w:val="32"/>
          <w:szCs w:val="32"/>
        </w:rPr>
        <w:t>亿元，主要为向中央银行借款</w:t>
      </w:r>
      <w:r>
        <w:rPr>
          <w:rFonts w:hint="eastAsia"/>
          <w:spacing w:val="-1"/>
          <w:sz w:val="32"/>
          <w:szCs w:val="32"/>
          <w:lang w:val="en-US" w:eastAsia="zh-CN"/>
        </w:rPr>
        <w:t>8.86</w:t>
      </w:r>
      <w:r>
        <w:rPr>
          <w:spacing w:val="-1"/>
          <w:sz w:val="32"/>
          <w:szCs w:val="32"/>
        </w:rPr>
        <w:t>亿元，</w:t>
      </w:r>
      <w:r>
        <w:rPr>
          <w:spacing w:val="-2"/>
          <w:sz w:val="32"/>
          <w:szCs w:val="32"/>
        </w:rPr>
        <w:t>占比</w:t>
      </w:r>
      <w:r>
        <w:rPr>
          <w:rFonts w:hint="eastAsia"/>
          <w:spacing w:val="-2"/>
          <w:sz w:val="32"/>
          <w:szCs w:val="32"/>
          <w:lang w:val="en-US" w:eastAsia="zh-CN"/>
        </w:rPr>
        <w:t>10.2</w:t>
      </w:r>
      <w:r>
        <w:rPr>
          <w:spacing w:val="-2"/>
          <w:sz w:val="32"/>
          <w:szCs w:val="32"/>
        </w:rPr>
        <w:t>%；</w:t>
      </w:r>
      <w:r>
        <w:rPr>
          <w:spacing w:val="-1"/>
          <w:sz w:val="32"/>
          <w:szCs w:val="32"/>
        </w:rPr>
        <w:t>吸收存款</w:t>
      </w:r>
      <w:r>
        <w:rPr>
          <w:rFonts w:hint="eastAsia"/>
          <w:spacing w:val="-1"/>
          <w:sz w:val="32"/>
          <w:szCs w:val="32"/>
          <w:lang w:val="en-US" w:eastAsia="zh-CN"/>
        </w:rPr>
        <w:t>77.66</w:t>
      </w:r>
      <w:r>
        <w:rPr>
          <w:spacing w:val="-1"/>
          <w:sz w:val="32"/>
          <w:szCs w:val="32"/>
        </w:rPr>
        <w:t>亿元，占比</w:t>
      </w:r>
      <w:r>
        <w:rPr>
          <w:rFonts w:hint="eastAsia"/>
          <w:spacing w:val="-1"/>
          <w:sz w:val="32"/>
          <w:szCs w:val="32"/>
          <w:lang w:val="en-US" w:eastAsia="zh-CN"/>
        </w:rPr>
        <w:t>89.41</w:t>
      </w:r>
      <w:r>
        <w:rPr>
          <w:spacing w:val="-1"/>
          <w:sz w:val="32"/>
          <w:szCs w:val="32"/>
        </w:rPr>
        <w:t>%；其他负债</w:t>
      </w:r>
      <w:r>
        <w:rPr>
          <w:rFonts w:hint="eastAsia"/>
          <w:spacing w:val="-2"/>
          <w:sz w:val="32"/>
          <w:szCs w:val="32"/>
          <w:lang w:val="en-US" w:eastAsia="zh-CN"/>
        </w:rPr>
        <w:t>0.34</w:t>
      </w:r>
      <w:r>
        <w:rPr>
          <w:spacing w:val="-2"/>
          <w:sz w:val="32"/>
          <w:szCs w:val="32"/>
        </w:rPr>
        <w:t>亿元，占比</w:t>
      </w:r>
      <w:r>
        <w:rPr>
          <w:rFonts w:hint="eastAsia"/>
          <w:spacing w:val="1"/>
          <w:sz w:val="32"/>
          <w:szCs w:val="32"/>
          <w:lang w:val="en-US" w:eastAsia="zh-CN"/>
        </w:rPr>
        <w:t>0.39</w:t>
      </w:r>
      <w:r>
        <w:rPr>
          <w:spacing w:val="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5"/>
        <w:textAlignment w:val="baseline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（二）所有者权益情况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83" w:firstLine="636"/>
        <w:jc w:val="both"/>
        <w:textAlignment w:val="baseline"/>
        <w:rPr>
          <w:sz w:val="32"/>
          <w:szCs w:val="32"/>
        </w:rPr>
      </w:pPr>
      <w:r>
        <w:rPr>
          <w:rFonts w:hint="eastAsia"/>
          <w:spacing w:val="1"/>
          <w:sz w:val="32"/>
          <w:szCs w:val="32"/>
          <w:lang w:eastAsia="zh-CN"/>
        </w:rPr>
        <w:t>2025年</w:t>
      </w:r>
      <w:r>
        <w:rPr>
          <w:spacing w:val="1"/>
          <w:sz w:val="32"/>
          <w:szCs w:val="32"/>
        </w:rPr>
        <w:t>末，所有者权益总额</w:t>
      </w:r>
      <w:r>
        <w:rPr>
          <w:rFonts w:hint="eastAsia"/>
          <w:spacing w:val="1"/>
          <w:sz w:val="32"/>
          <w:szCs w:val="32"/>
          <w:lang w:val="en-US" w:eastAsia="zh-CN"/>
        </w:rPr>
        <w:t>8.22</w:t>
      </w:r>
      <w:r>
        <w:rPr>
          <w:spacing w:val="1"/>
          <w:sz w:val="32"/>
          <w:szCs w:val="32"/>
        </w:rPr>
        <w:t>亿元，其中实收资本</w:t>
      </w:r>
      <w:r>
        <w:rPr>
          <w:rFonts w:hint="eastAsia"/>
          <w:spacing w:val="1"/>
          <w:sz w:val="32"/>
          <w:szCs w:val="32"/>
          <w:lang w:val="en-US" w:eastAsia="zh-CN"/>
        </w:rPr>
        <w:t>1.99</w:t>
      </w:r>
      <w:r>
        <w:rPr>
          <w:spacing w:val="1"/>
          <w:sz w:val="32"/>
          <w:szCs w:val="32"/>
        </w:rPr>
        <w:t>亿元、盈余公积</w:t>
      </w:r>
      <w:r>
        <w:rPr>
          <w:rFonts w:hint="eastAsia"/>
          <w:spacing w:val="1"/>
          <w:sz w:val="32"/>
          <w:szCs w:val="32"/>
          <w:lang w:val="en-US" w:eastAsia="zh-CN"/>
        </w:rPr>
        <w:t>1.38</w:t>
      </w:r>
      <w:r>
        <w:rPr>
          <w:spacing w:val="1"/>
          <w:sz w:val="32"/>
          <w:szCs w:val="32"/>
        </w:rPr>
        <w:t>亿元、一般风险准备</w:t>
      </w:r>
      <w:r>
        <w:rPr>
          <w:rFonts w:hint="eastAsia"/>
          <w:spacing w:val="1"/>
          <w:sz w:val="32"/>
          <w:szCs w:val="32"/>
          <w:lang w:val="en-US" w:eastAsia="zh-CN"/>
        </w:rPr>
        <w:t>1.99</w:t>
      </w:r>
      <w:r>
        <w:rPr>
          <w:spacing w:val="1"/>
          <w:sz w:val="32"/>
          <w:szCs w:val="32"/>
        </w:rPr>
        <w:t>亿元、</w:t>
      </w:r>
      <w:r>
        <w:rPr>
          <w:rFonts w:hint="eastAsia"/>
          <w:spacing w:val="1"/>
          <w:sz w:val="32"/>
          <w:szCs w:val="32"/>
          <w:lang w:val="en-US" w:eastAsia="zh-CN"/>
        </w:rPr>
        <w:t>资本公积0.19亿元、</w:t>
      </w:r>
      <w:r>
        <w:rPr>
          <w:spacing w:val="1"/>
          <w:sz w:val="32"/>
          <w:szCs w:val="32"/>
        </w:rPr>
        <w:t>未分配利</w:t>
      </w:r>
      <w:r>
        <w:rPr>
          <w:sz w:val="32"/>
          <w:szCs w:val="32"/>
        </w:rPr>
        <w:t>润</w:t>
      </w:r>
      <w:r>
        <w:rPr>
          <w:rFonts w:hint="eastAsia"/>
          <w:spacing w:val="-22"/>
          <w:sz w:val="32"/>
          <w:szCs w:val="32"/>
          <w:lang w:val="en-US" w:eastAsia="zh-CN"/>
        </w:rPr>
        <w:t>2.33</w:t>
      </w:r>
      <w:r>
        <w:rPr>
          <w:sz w:val="32"/>
          <w:szCs w:val="32"/>
        </w:rPr>
        <w:t>亿元、其他综合收益</w:t>
      </w:r>
      <w:r>
        <w:rPr>
          <w:rFonts w:hint="eastAsia"/>
          <w:sz w:val="32"/>
          <w:szCs w:val="32"/>
          <w:lang w:val="en-US" w:eastAsia="zh-CN"/>
        </w:rPr>
        <w:t>0.34</w:t>
      </w:r>
      <w:r>
        <w:rPr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三、财务收支及利润情况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right="86" w:firstLine="625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2025年</w:t>
      </w:r>
      <w:r>
        <w:rPr>
          <w:spacing w:val="4"/>
          <w:sz w:val="32"/>
          <w:szCs w:val="32"/>
        </w:rPr>
        <w:t>，</w:t>
      </w:r>
      <w:r>
        <w:rPr>
          <w:rFonts w:hint="eastAsia"/>
          <w:spacing w:val="4"/>
          <w:sz w:val="32"/>
          <w:szCs w:val="32"/>
          <w:lang w:eastAsia="zh-CN"/>
        </w:rPr>
        <w:t>崇义</w:t>
      </w:r>
      <w:r>
        <w:rPr>
          <w:spacing w:val="4"/>
          <w:sz w:val="32"/>
          <w:szCs w:val="32"/>
        </w:rPr>
        <w:t>农商银行全年实现财务收入</w:t>
      </w:r>
      <w:r>
        <w:rPr>
          <w:rFonts w:hint="eastAsia"/>
          <w:spacing w:val="4"/>
          <w:sz w:val="32"/>
          <w:szCs w:val="32"/>
          <w:lang w:val="en-US" w:eastAsia="zh-CN"/>
        </w:rPr>
        <w:t>3.97亿</w:t>
      </w:r>
      <w:r>
        <w:rPr>
          <w:spacing w:val="4"/>
          <w:sz w:val="32"/>
          <w:szCs w:val="32"/>
        </w:rPr>
        <w:t>元，财</w:t>
      </w:r>
      <w:r>
        <w:rPr>
          <w:spacing w:val="1"/>
          <w:sz w:val="32"/>
          <w:szCs w:val="32"/>
        </w:rPr>
        <w:t>务支出</w:t>
      </w:r>
      <w:r>
        <w:rPr>
          <w:rFonts w:hint="eastAsia"/>
          <w:spacing w:val="1"/>
          <w:sz w:val="32"/>
          <w:szCs w:val="32"/>
          <w:lang w:val="en-US" w:eastAsia="zh-CN"/>
        </w:rPr>
        <w:t>2.82亿</w:t>
      </w:r>
      <w:r>
        <w:rPr>
          <w:spacing w:val="1"/>
          <w:sz w:val="32"/>
          <w:szCs w:val="32"/>
        </w:rPr>
        <w:t>元，净利润</w:t>
      </w:r>
      <w:r>
        <w:rPr>
          <w:rFonts w:hint="eastAsia"/>
          <w:spacing w:val="1"/>
          <w:sz w:val="32"/>
          <w:szCs w:val="32"/>
          <w:lang w:val="en-US" w:eastAsia="zh-CN"/>
        </w:rPr>
        <w:t>9904</w:t>
      </w:r>
      <w:r>
        <w:rPr>
          <w:spacing w:val="1"/>
          <w:sz w:val="32"/>
          <w:szCs w:val="32"/>
        </w:rPr>
        <w:t>万元。具体如下：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83" w:firstLine="650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1.财务收入情况。</w:t>
      </w:r>
      <w:r>
        <w:rPr>
          <w:spacing w:val="1"/>
          <w:sz w:val="32"/>
          <w:szCs w:val="32"/>
        </w:rPr>
        <w:t>财务收入</w:t>
      </w:r>
      <w:r>
        <w:rPr>
          <w:rFonts w:hint="eastAsia"/>
          <w:spacing w:val="1"/>
          <w:sz w:val="32"/>
          <w:szCs w:val="32"/>
          <w:lang w:val="en-US" w:eastAsia="zh-CN"/>
        </w:rPr>
        <w:t>3.97</w:t>
      </w:r>
      <w:r>
        <w:rPr>
          <w:rFonts w:hint="eastAsia" w:eastAsia="楷体"/>
          <w:spacing w:val="3"/>
          <w:sz w:val="32"/>
          <w:szCs w:val="32"/>
          <w:lang w:val="en-US" w:eastAsia="zh-CN"/>
        </w:rPr>
        <w:t>亿</w:t>
      </w:r>
      <w:r>
        <w:rPr>
          <w:spacing w:val="3"/>
          <w:sz w:val="32"/>
          <w:szCs w:val="32"/>
        </w:rPr>
        <w:t>元，同比</w:t>
      </w:r>
      <w:r>
        <w:rPr>
          <w:rFonts w:hint="eastAsia"/>
          <w:spacing w:val="3"/>
          <w:sz w:val="32"/>
          <w:szCs w:val="32"/>
          <w:lang w:val="en-US" w:eastAsia="zh-CN"/>
        </w:rPr>
        <w:t>下降0.86个百分点</w:t>
      </w:r>
      <w:r>
        <w:rPr>
          <w:spacing w:val="3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83" w:firstLine="650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2.财务支出情况。</w:t>
      </w:r>
      <w:r>
        <w:rPr>
          <w:spacing w:val="1"/>
          <w:sz w:val="32"/>
          <w:szCs w:val="32"/>
        </w:rPr>
        <w:t>财务支出</w:t>
      </w:r>
      <w:r>
        <w:rPr>
          <w:rFonts w:hint="eastAsia"/>
          <w:spacing w:val="1"/>
          <w:sz w:val="32"/>
          <w:szCs w:val="32"/>
          <w:lang w:val="en-US" w:eastAsia="zh-CN"/>
        </w:rPr>
        <w:t>2.82</w:t>
      </w:r>
      <w:r>
        <w:rPr>
          <w:rFonts w:hint="eastAsia" w:eastAsia="楷体"/>
          <w:sz w:val="32"/>
          <w:szCs w:val="32"/>
          <w:lang w:val="en-US" w:eastAsia="zh-CN"/>
        </w:rPr>
        <w:t>亿</w:t>
      </w:r>
      <w:r>
        <w:rPr>
          <w:sz w:val="32"/>
          <w:szCs w:val="32"/>
        </w:rPr>
        <w:t>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pacing w:val="3"/>
          <w:sz w:val="32"/>
          <w:szCs w:val="32"/>
        </w:rPr>
        <w:t>同比</w:t>
      </w:r>
      <w:r>
        <w:rPr>
          <w:rFonts w:hint="eastAsia"/>
          <w:spacing w:val="3"/>
          <w:sz w:val="32"/>
          <w:szCs w:val="32"/>
          <w:lang w:val="en-US" w:eastAsia="zh-CN"/>
        </w:rPr>
        <w:t>下降5.52个百分点</w:t>
      </w:r>
      <w:r>
        <w:rPr>
          <w:spacing w:val="3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right="85" w:firstLine="629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3.利润情况。</w:t>
      </w:r>
      <w:r>
        <w:rPr>
          <w:rFonts w:hint="eastAsia" w:eastAsia="楷体"/>
          <w:spacing w:val="6"/>
          <w:sz w:val="32"/>
          <w:szCs w:val="32"/>
          <w:lang w:eastAsia="zh-CN"/>
        </w:rPr>
        <w:t>2025年</w:t>
      </w:r>
      <w:r>
        <w:rPr>
          <w:spacing w:val="6"/>
          <w:sz w:val="32"/>
          <w:szCs w:val="32"/>
        </w:rPr>
        <w:t>，</w:t>
      </w:r>
      <w:r>
        <w:rPr>
          <w:rFonts w:hint="eastAsia"/>
          <w:spacing w:val="6"/>
          <w:sz w:val="32"/>
          <w:szCs w:val="32"/>
          <w:lang w:eastAsia="zh-CN"/>
        </w:rPr>
        <w:t>崇义</w:t>
      </w:r>
      <w:r>
        <w:rPr>
          <w:spacing w:val="6"/>
          <w:sz w:val="32"/>
          <w:szCs w:val="32"/>
        </w:rPr>
        <w:t>农商银行实现账面净利润</w:t>
      </w:r>
      <w:r>
        <w:rPr>
          <w:rFonts w:hint="eastAsia"/>
          <w:spacing w:val="6"/>
          <w:sz w:val="32"/>
          <w:szCs w:val="32"/>
          <w:lang w:val="en-US" w:eastAsia="zh-CN"/>
        </w:rPr>
        <w:t>9904</w:t>
      </w:r>
      <w:r>
        <w:rPr>
          <w:spacing w:val="-1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4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四、各项税费缴纳情况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86" w:firstLine="630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2025年崇义</w:t>
      </w:r>
      <w:r>
        <w:rPr>
          <w:spacing w:val="4"/>
          <w:sz w:val="32"/>
          <w:szCs w:val="32"/>
        </w:rPr>
        <w:t>农商银行全年缴纳各项税金</w:t>
      </w:r>
      <w:r>
        <w:rPr>
          <w:rFonts w:hint="eastAsia"/>
          <w:spacing w:val="4"/>
          <w:sz w:val="32"/>
          <w:szCs w:val="32"/>
          <w:lang w:val="en-US" w:eastAsia="zh-CN"/>
        </w:rPr>
        <w:t>5210</w:t>
      </w:r>
      <w:r>
        <w:rPr>
          <w:spacing w:val="4"/>
          <w:sz w:val="32"/>
          <w:szCs w:val="32"/>
        </w:rPr>
        <w:t>万元，其中缴</w:t>
      </w:r>
      <w:r>
        <w:rPr>
          <w:spacing w:val="2"/>
          <w:sz w:val="32"/>
          <w:szCs w:val="32"/>
        </w:rPr>
        <w:t>纳企业所得税</w:t>
      </w:r>
      <w:r>
        <w:rPr>
          <w:rFonts w:hint="eastAsia"/>
          <w:spacing w:val="2"/>
          <w:sz w:val="32"/>
          <w:szCs w:val="32"/>
          <w:lang w:val="en-US" w:eastAsia="zh-CN"/>
        </w:rPr>
        <w:t>4286</w:t>
      </w:r>
      <w:r>
        <w:rPr>
          <w:spacing w:val="2"/>
          <w:sz w:val="32"/>
          <w:szCs w:val="32"/>
        </w:rPr>
        <w:t>万元。</w:t>
      </w:r>
    </w:p>
    <w:sectPr>
      <w:footerReference r:id="rId4" w:type="default"/>
      <w:pgSz w:w="11907" w:h="16839"/>
      <w:pgMar w:top="1431" w:right="1385" w:bottom="1156" w:left="1603" w:header="0" w:footer="9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3" w:lineRule="auto"/>
      <w:ind w:left="43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3" w:lineRule="auto"/>
      <w:ind w:left="43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CB82E28"/>
    <w:rsid w:val="38E171EB"/>
    <w:rsid w:val="4BBB352C"/>
    <w:rsid w:val="54CD4CF2"/>
    <w:rsid w:val="5AEF4D74"/>
    <w:rsid w:val="FB3FC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2025-06-05T20:20:00Z</dcterms:created>
  <dc:creator>Image</dc:creator>
  <cp:lastModifiedBy>匿名用户</cp:lastModifiedBy>
  <cp:lastPrinted>2026-03-26T09:16:00Z</cp:lastPrinted>
  <dcterms:modified xsi:type="dcterms:W3CDTF">2026-04-30T13:07:18Z</dcterms:modified>
  <dc:title>关于省农村信用联社2004年财务决算情况和2005年财务预算草案的报告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2026-03-25T16:40:30Z</vt:filetime>
  </property>
  <property fmtid="{D5CDD505-2E9C-101B-9397-08002B2CF9AE}" pid="4" name="KSOProductBuildVer">
    <vt:lpwstr>2052-10.8.0.6501</vt:lpwstr>
  </property>
</Properties>
</file>